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1141309315"/>
      </w:sdtPr>
      <w:sdtEndPr/>
      <w:sdtContent>
        <w:p w:rsidR="002F079E" w:rsidRDefault="006639BF">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Vocational High School Teacher Readiness: Industrial Revolution 4.0 and 21</w:t>
          </w:r>
          <w:r w:rsidRPr="006639BF">
            <w:rPr>
              <w:rFonts w:ascii="Times New Roman" w:eastAsia="Times New Roman" w:hAnsi="Times New Roman" w:cs="Times New Roman"/>
              <w:b/>
              <w:sz w:val="34"/>
              <w:szCs w:val="34"/>
              <w:vertAlign w:val="superscript"/>
            </w:rPr>
            <w:t>st</w:t>
          </w:r>
          <w:r>
            <w:rPr>
              <w:rFonts w:ascii="Times New Roman" w:eastAsia="Times New Roman" w:hAnsi="Times New Roman" w:cs="Times New Roman"/>
              <w:b/>
              <w:sz w:val="34"/>
              <w:szCs w:val="34"/>
            </w:rPr>
            <w:t xml:space="preserve"> Century Education</w:t>
          </w:r>
        </w:p>
      </w:sdtContent>
    </w:sdt>
    <w:sdt>
      <w:sdtPr>
        <w:tag w:val="goog_rdk_1"/>
        <w:id w:val="-1293055971"/>
      </w:sdtPr>
      <w:sdtEndPr/>
      <w:sdtContent>
        <w:p w:rsidR="002F079E" w:rsidRDefault="006639BF">
          <w:pPr>
            <w:spacing w:after="0"/>
            <w:ind w:left="1418"/>
            <w:rPr>
              <w:rFonts w:ascii="Times New Roman" w:eastAsia="Times New Roman" w:hAnsi="Times New Roman" w:cs="Times New Roman"/>
              <w:b/>
            </w:rPr>
          </w:pPr>
          <w:r>
            <w:rPr>
              <w:rFonts w:ascii="Times New Roman" w:eastAsia="Times New Roman" w:hAnsi="Times New Roman" w:cs="Times New Roman"/>
              <w:b/>
            </w:rPr>
            <w:t>D Meirawan</w:t>
          </w:r>
          <w:r w:rsidR="00B42C7C">
            <w:rPr>
              <w:rFonts w:ascii="Times New Roman" w:eastAsia="Times New Roman" w:hAnsi="Times New Roman" w:cs="Times New Roman"/>
              <w:b/>
              <w:vertAlign w:val="superscript"/>
            </w:rPr>
            <w:t>1</w:t>
          </w:r>
          <w:r w:rsidR="00CE509E">
            <w:rPr>
              <w:rFonts w:ascii="Times New Roman" w:eastAsia="Times New Roman" w:hAnsi="Times New Roman" w:cs="Times New Roman"/>
              <w:b/>
            </w:rPr>
            <w:t>, A Ana</w:t>
          </w:r>
          <w:r w:rsidR="00CE509E">
            <w:rPr>
              <w:rFonts w:ascii="Times New Roman" w:eastAsia="Times New Roman" w:hAnsi="Times New Roman" w:cs="Times New Roman"/>
              <w:b/>
              <w:vertAlign w:val="superscript"/>
            </w:rPr>
            <w:t>1</w:t>
          </w:r>
          <w:r w:rsidR="00CE509E">
            <w:rPr>
              <w:rFonts w:ascii="Times New Roman" w:eastAsia="Times New Roman" w:hAnsi="Times New Roman" w:cs="Times New Roman"/>
              <w:b/>
            </w:rPr>
            <w:t>, A Suryana</w:t>
          </w:r>
          <w:r w:rsidR="00CE509E">
            <w:rPr>
              <w:rFonts w:ascii="Times New Roman" w:eastAsia="Times New Roman" w:hAnsi="Times New Roman" w:cs="Times New Roman"/>
              <w:b/>
              <w:vertAlign w:val="superscript"/>
            </w:rPr>
            <w:t>1</w:t>
          </w:r>
          <w:r w:rsidR="00CE509E">
            <w:rPr>
              <w:rFonts w:ascii="Times New Roman" w:eastAsia="Times New Roman" w:hAnsi="Times New Roman" w:cs="Times New Roman"/>
              <w:b/>
            </w:rPr>
            <w:t>, S Saripudin</w:t>
          </w:r>
          <w:r w:rsidR="00CE509E">
            <w:rPr>
              <w:rFonts w:ascii="Times New Roman" w:eastAsia="Times New Roman" w:hAnsi="Times New Roman" w:cs="Times New Roman"/>
              <w:b/>
              <w:vertAlign w:val="superscript"/>
            </w:rPr>
            <w:t>1</w:t>
          </w:r>
          <w:r w:rsidR="00CE509E">
            <w:rPr>
              <w:rFonts w:ascii="Times New Roman" w:eastAsia="Times New Roman" w:hAnsi="Times New Roman" w:cs="Times New Roman"/>
              <w:b/>
            </w:rPr>
            <w:t xml:space="preserve">, </w:t>
          </w:r>
          <w:r w:rsidR="00BA78DA">
            <w:rPr>
              <w:rFonts w:ascii="Times New Roman" w:eastAsia="Times New Roman" w:hAnsi="Times New Roman" w:cs="Times New Roman"/>
              <w:b/>
            </w:rPr>
            <w:t xml:space="preserve">and </w:t>
          </w:r>
          <w:bookmarkStart w:id="0" w:name="_GoBack"/>
          <w:bookmarkEnd w:id="0"/>
          <w:r w:rsidR="00CE509E">
            <w:rPr>
              <w:rFonts w:ascii="Times New Roman" w:eastAsia="Times New Roman" w:hAnsi="Times New Roman" w:cs="Times New Roman"/>
              <w:b/>
            </w:rPr>
            <w:t>I Khoerunnisa</w:t>
          </w:r>
          <w:r w:rsidR="00CE509E">
            <w:rPr>
              <w:rFonts w:ascii="Times New Roman" w:eastAsia="Times New Roman" w:hAnsi="Times New Roman" w:cs="Times New Roman"/>
              <w:b/>
              <w:vertAlign w:val="superscript"/>
            </w:rPr>
            <w:t>1</w:t>
          </w:r>
        </w:p>
      </w:sdtContent>
    </w:sdt>
    <w:sdt>
      <w:sdtPr>
        <w:tag w:val="goog_rdk_2"/>
        <w:id w:val="281775753"/>
      </w:sdtPr>
      <w:sdtEndPr/>
      <w:sdtContent>
        <w:p w:rsidR="002F079E" w:rsidRDefault="00BA78DA">
          <w:pPr>
            <w:spacing w:after="0"/>
            <w:ind w:left="1418"/>
            <w:rPr>
              <w:rFonts w:ascii="Times New Roman" w:eastAsia="Times New Roman" w:hAnsi="Times New Roman" w:cs="Times New Roman"/>
              <w:vertAlign w:val="superscript"/>
            </w:rPr>
          </w:pPr>
        </w:p>
      </w:sdtContent>
    </w:sdt>
    <w:sdt>
      <w:sdtPr>
        <w:tag w:val="goog_rdk_3"/>
        <w:id w:val="-1973748315"/>
      </w:sdtPr>
      <w:sdtEndPr/>
      <w:sdtContent>
        <w:p w:rsidR="002F079E" w:rsidRDefault="00B42C7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6639BF">
            <w:rPr>
              <w:rFonts w:ascii="Times New Roman" w:eastAsia="Times New Roman" w:hAnsi="Times New Roman" w:cs="Times New Roman"/>
            </w:rPr>
            <w:t>Universitas Pendidikan Indonesia</w:t>
          </w:r>
          <w:r>
            <w:rPr>
              <w:rFonts w:ascii="Times New Roman" w:eastAsia="Times New Roman" w:hAnsi="Times New Roman" w:cs="Times New Roman"/>
            </w:rPr>
            <w:t xml:space="preserve">, </w:t>
          </w:r>
          <w:r w:rsidR="006639BF">
            <w:rPr>
              <w:rFonts w:ascii="Times New Roman" w:eastAsia="Times New Roman" w:hAnsi="Times New Roman" w:cs="Times New Roman"/>
            </w:rPr>
            <w:t>Jl. Setiabudhi No. 207 Bandung 40154, Indonesia</w:t>
          </w:r>
        </w:p>
      </w:sdtContent>
    </w:sdt>
    <w:bookmarkStart w:id="1" w:name="_heading=h.gjdgxs" w:colFirst="0" w:colLast="0" w:displacedByCustomXml="next"/>
    <w:bookmarkEnd w:id="1" w:displacedByCustomXml="next"/>
    <w:sdt>
      <w:sdtPr>
        <w:tag w:val="goog_rdk_5"/>
        <w:id w:val="1672597750"/>
      </w:sdtPr>
      <w:sdtEndPr/>
      <w:sdtContent>
        <w:p w:rsidR="002F079E" w:rsidRDefault="00BA78DA">
          <w:pPr>
            <w:spacing w:after="0"/>
            <w:ind w:left="1418"/>
            <w:rPr>
              <w:rFonts w:ascii="Times New Roman" w:eastAsia="Times New Roman" w:hAnsi="Times New Roman" w:cs="Times New Roman"/>
            </w:rPr>
          </w:pPr>
        </w:p>
      </w:sdtContent>
    </w:sdt>
    <w:sdt>
      <w:sdtPr>
        <w:tag w:val="goog_rdk_6"/>
        <w:id w:val="-507988911"/>
      </w:sdtPr>
      <w:sdtEndPr/>
      <w:sdtContent>
        <w:p w:rsidR="002F079E" w:rsidRDefault="00B42C7C">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6639BF" w:rsidRPr="006639BF">
            <w:rPr>
              <w:rFonts w:ascii="Times New Roman" w:eastAsia="Times New Roman" w:hAnsi="Times New Roman" w:cs="Times New Roman"/>
            </w:rPr>
            <w:t>dmeirawan@upi.edu</w:t>
          </w:r>
        </w:p>
      </w:sdtContent>
    </w:sdt>
    <w:sdt>
      <w:sdtPr>
        <w:tag w:val="goog_rdk_7"/>
        <w:id w:val="-357122662"/>
      </w:sdtPr>
      <w:sdtEndPr/>
      <w:sdtContent>
        <w:p w:rsidR="002F079E" w:rsidRDefault="00B42C7C">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6639BF" w:rsidRPr="00C478A7">
            <w:rPr>
              <w:rFonts w:ascii="Times New Roman" w:hAnsi="Times New Roman" w:cs="Times New Roman"/>
              <w:sz w:val="20"/>
              <w:szCs w:val="20"/>
              <w:lang w:val="sv-SE"/>
            </w:rPr>
            <w:t>This research synthesizes study findings on teacher readiness in facing the  industrial revolution 4.0 and the demands of the 21st century education skills. This research studied journals articles from 2015 to 2019. This paper focuses on the problem of vocational teacher preparation in facing the industrial revolution 4.0 and the 21st century vocational learning. The Era of industrial revolution 4.0 brought significant changes in all aspects, including education. Vocational high school is an education that has the task of producing students who are ready to work skillfully in industries. Increasing student competence to face industrial revolution 4.0 and the demands of the 21st century education skills is one of the challenges for teachers. Therefore, as a solution to this problem, it is necessary to explore a study on the Readiness of Teachers in the face of the industrial revolution 4.0 and the demands of the 21st century education skills. From some of the studies that have been carried out, technology literacy and technology integration are competencies that must be possessed by teachers in facing the industrial revolution 4.0 and the demands of the 21st century education skills</w:t>
          </w:r>
          <w:r>
            <w:rPr>
              <w:rFonts w:ascii="Times New Roman" w:eastAsia="Times New Roman" w:hAnsi="Times New Roman" w:cs="Times New Roman"/>
              <w:sz w:val="20"/>
              <w:szCs w:val="20"/>
            </w:rPr>
            <w:t xml:space="preserve">. </w:t>
          </w:r>
        </w:p>
      </w:sdtContent>
    </w:sdt>
    <w:sdt>
      <w:sdtPr>
        <w:tag w:val="goog_rdk_8"/>
        <w:id w:val="288708853"/>
      </w:sdtPr>
      <w:sdtEndPr/>
      <w:sdtContent>
        <w:p w:rsidR="002F079E" w:rsidRDefault="00B42C7C" w:rsidP="00B42C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59410244"/>
      </w:sdtPr>
      <w:sdtEndPr/>
      <w:sdtContent>
        <w:p w:rsidR="006639BF" w:rsidRPr="00C478A7" w:rsidRDefault="006639BF" w:rsidP="006639BF">
          <w:pPr>
            <w:spacing w:after="0" w:line="240" w:lineRule="auto"/>
            <w:jc w:val="both"/>
            <w:rPr>
              <w:rFonts w:ascii="Times New Roman" w:hAnsi="Times New Roman" w:cs="Times New Roman"/>
            </w:rPr>
          </w:pPr>
          <w:r w:rsidRPr="00C478A7">
            <w:rPr>
              <w:rFonts w:ascii="Times New Roman" w:hAnsi="Times New Roman" w:cs="Times New Roman"/>
            </w:rPr>
            <w:t xml:space="preserve">The industrial revolution 4.0 is marked by the wave of sophisticated technology and the emergence of various digital industries through the transformation of 9 pillars of sophisticated technology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"Bonekamp", "given" : "Linda", "non-dropping-particle" : "", "parse-names" : false, "suffix" : "" }, { "dropping-particle" : "", "family" : "Sure", "given" : "Matthias", "non-dropping-particle" : "", "parse-names" : false, "suffix" : "" } ], "id" : "ITEM-1", "issue" : "1", "issued" : { "date-parts" : [ [ "2015" ] ] }, "page" : "33-40", "title" : "Consequences of Industry 4 . 0 on Human Labour and Work Organisation", "type" : "article-journal" }, "uris" : [ "http://www.mendeley.com/documents/?uuid=3683f2d0-73ce-4933-8dc8-19696e6cc073" ] } ], "mendeley" : { "formattedCitation" : "[1]", "plainTextFormattedCitation" : "[1]", "previouslyFormattedCitation" : "[1]"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w:t>
          </w:r>
          <w:r w:rsidRPr="00C478A7">
            <w:rPr>
              <w:rFonts w:ascii="Times New Roman" w:hAnsi="Times New Roman" w:cs="Times New Roman"/>
            </w:rPr>
            <w:fldChar w:fldCharType="end"/>
          </w:r>
          <w:r w:rsidRPr="00C478A7">
            <w:rPr>
              <w:rFonts w:ascii="Times New Roman" w:hAnsi="Times New Roman" w:cs="Times New Roman"/>
            </w:rPr>
            <w:t xml:space="preserve">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"10.1109/FSKD.2015.7382284", "ISBN" : "9781467376822", "ISSN" : "01663615", "PMID" : "49",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"article-journal" }, "uris" : [ "http://www.mendeley.com/documents/?uuid=7f359956-4813-45fa-97e2-a1e8d7bc466c" ] } ], "mendeley" : { "formattedCitation" : "[2]", "plainTextFormattedCitation" : "[2]", "previouslyFormattedCitation" : "[2]"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w:t>
          </w:r>
          <w:r w:rsidRPr="00C478A7">
            <w:rPr>
              <w:rFonts w:ascii="Times New Roman" w:hAnsi="Times New Roman" w:cs="Times New Roman"/>
            </w:rPr>
            <w:fldChar w:fldCharType="end"/>
          </w:r>
          <w:r w:rsidRPr="00C478A7">
            <w:rPr>
              <w:rFonts w:ascii="Times New Roman" w:hAnsi="Times New Roman" w:cs="Times New Roman"/>
            </w:rPr>
            <w:t xml:space="preserve">.  The challenges of knowledge and competence that are closely related to the era of disruption and the industrial revolution 4.0 require a new strategy to prepare Human Resources (HR) that can compete and meet a variety of needs that keep evolving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"10.1016/j.jum.2019.01.001", "ISSN" : "22265856", "author" : [ { "dropping-particle" : "", "family" : "Erdo\u011fan", "given" : "Gizem", "non-dropping-particle" : "", "parse-names" : false, "suffix" : "" } ], "container-title" : "Journal of Urban Management", "id" : "ITEM-1", "issue" : "January", "issued" : { "date-parts" : [ [ "2019" ] ] }, "page" : "1-9", "title" : "Land selection criteria for lights out factory districts during the industry 4.0 process", "type" : "article-journal" }, "uris" : [ "http://www.mendeley.com/documents/?uuid=cbf0df42-90a8-4af3-b450-76ef620a390e", "http://www.mendeley.com/documents/?uuid=0d9ba620-1a56-4de1-8a78-4702075dffe5" ] } ], "mendeley" : { "formattedCitation" : "[3]", "plainTextFormattedCitation" : "[3]", "previouslyFormattedCitation" : "[3]"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[3]</w:t>
          </w:r>
          <w:r w:rsidRPr="00C478A7">
            <w:rPr>
              <w:rFonts w:ascii="Times New Roman" w:hAnsi="Times New Roman" w:cs="Times New Roman"/>
            </w:rPr>
            <w:fldChar w:fldCharType="end"/>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"10.1016/j.procir.2016.05.102", "ISSN" : "2212-8271", "author" : [ { "dropping-particle" : "", "family" : "Hecklau", "given" : "Fabian", "non-dropping-particle" : "", "parse-names" : false, "suffix" : "" }, { "dropping-particle" : "", "family" : "Galeitzke", "given" : "Mila", "non-dropping-particle" : "", "parse-names" : false, "suffix" : "" }, { "dropping-particle" : "", "family" : "Flachs", "given" : "Sebastian", "non-dropping-particle" : "", "parse-names" : false, "suffix" : "" }, { "dropping-particle" : "", "family" : "Kohl", "given" : "Holger", "non-dropping-particle" : "", "parse-names" : false, "suffix" : "" } ], "container-title" : "Procedia CIRP", "id" : "ITEM-1", "issued" : { "date-parts" : [ [ "2016" ] ] }, "page" : "1-6", "publisher" : "The Author(s)", "title" : "Holistic Approach for Human Resource Management in Industry 4.0", "type" : "article-journal", "volume" : "54" }, "uris" : [ "http://www.mendeley.com/documents/?uuid=73559034-674a-4bcb-afc2-7334adc41bea" ] } ], "mendeley" : { "formattedCitation" : "[4]", "plainTextFormattedCitation" : "[4]", "previouslyFormattedCitation" : "[4]"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[4]</w:t>
          </w:r>
          <w:r w:rsidRPr="00C478A7">
            <w:rPr>
              <w:rFonts w:ascii="Times New Roman" w:hAnsi="Times New Roman" w:cs="Times New Roman"/>
            </w:rPr>
            <w:fldChar w:fldCharType="end"/>
          </w:r>
          <w:r w:rsidRPr="00C478A7">
            <w:rPr>
              <w:rFonts w:ascii="Times New Roman" w:hAnsi="Times New Roman" w:cs="Times New Roman"/>
            </w:rPr>
            <w:t>.</w:t>
          </w:r>
        </w:p>
        <w:p w:rsidR="006639BF" w:rsidRPr="00C478A7" w:rsidRDefault="006639BF" w:rsidP="006639BF">
          <w:pPr>
            <w:spacing w:after="0" w:line="240" w:lineRule="auto"/>
            <w:ind w:firstLine="360"/>
            <w:jc w:val="both"/>
            <w:rPr>
              <w:rFonts w:ascii="Times New Roman" w:hAnsi="Times New Roman" w:cs="Times New Roman"/>
            </w:rPr>
          </w:pPr>
          <w:r w:rsidRPr="00C478A7">
            <w:rPr>
              <w:rFonts w:ascii="Times New Roman" w:hAnsi="Times New Roman" w:cs="Times New Roman"/>
            </w:rPr>
            <w:t>Vocational High School is an educational institution designed to prepare students or graduates who are ready to enter the job market and are able to develop professional attitudes in the vocational field. Graduates of vocational education are expected to be productive individuals who are able to work as middle level workers and have readiness to face work competition. Vocational education graduates indeed have qualifications as (prospective) workers who possess certain vocational skills relevant to their fields of expertise. In facing the challenges of the Industrial Revolution 4.0, vocational high schools (SMKs) must continue to develop dynamically and be able to organize competency-based education</w:t>
          </w:r>
          <w:r w:rsidRPr="00C478A7">
            <w:rPr>
              <w:rFonts w:ascii="Times New Roman" w:hAnsi="Times New Roman" w:cs="Times New Roman"/>
              <w:shd w:val="clear" w:color="auto" w:fill="FFFFFF"/>
            </w:rPr>
            <w:t xml:space="preserve">. </w:t>
          </w:r>
        </w:p>
        <w:p w:rsidR="006639BF" w:rsidRPr="00C478A7" w:rsidRDefault="006639BF" w:rsidP="006639BF">
          <w:pPr>
            <w:spacing w:after="0" w:line="240" w:lineRule="auto"/>
            <w:ind w:firstLine="360"/>
            <w:jc w:val="both"/>
            <w:rPr>
              <w:rFonts w:ascii="Times New Roman" w:hAnsi="Times New Roman" w:cs="Times New Roman"/>
            </w:rPr>
          </w:pPr>
          <w:r w:rsidRPr="00C478A7">
            <w:rPr>
              <w:rFonts w:ascii="Times New Roman" w:hAnsi="Times New Roman" w:cs="Times New Roman"/>
            </w:rPr>
            <w:t xml:space="preserve">Various competencies of expertise that exist in vocational secondary education must begin to consider new strategies in fierce competition between robots and humans, such as human-machine cooperation that will be widely used by </w:t>
          </w:r>
          <w:r w:rsidRPr="00C478A7">
            <w:rPr>
              <w:rFonts w:ascii="Times New Roman" w:hAnsi="Times New Roman" w:cs="Times New Roman"/>
              <w:i/>
            </w:rPr>
            <w:t xml:space="preserve">smart factory </w:t>
          </w:r>
          <w:r w:rsidRPr="00C478A7">
            <w:rPr>
              <w:rFonts w:ascii="Times New Roman" w:hAnsi="Times New Roman" w:cs="Times New Roman"/>
              <w:i/>
            </w:rPr>
            <w:fldChar w:fldCharType="begin" w:fldLock="1"/>
          </w:r>
          <w:r w:rsidRPr="00C478A7">
            <w:rPr>
              <w:rFonts w:ascii="Times New Roman" w:hAnsi="Times New Roman" w:cs="Times New Roman"/>
              <w:i/>
            </w:rPr>
            <w:instrText>ADDIN CSL_CITATION { "citationItems" : [ { "id" : "ITEM-1", "itemData" : { "DOI" : "10.1016/j.promfg.2018.04.003", "ISSN" : "23519789", "abstract" : "The paradigm shift in production system known as Industry 4.0 imposes changes on work division between human and machine. A human labor on the one side is assisted by smart devices and machines (human-machine cooperation) and on the other should interact and exchange information with intelligent machines (human-machine collaboration). This paper addresses the challenges of mutual human-machine learning in factories of the future. The ultimate goal is to identify new learning patterns in highly digitalized industrial work scenarios. To this end, we give a definition of mutual human-machine learning in digitalized work scenarios; provide exemplary scenarios in the TU Wien Pilot Factory Industry 4.0, and finally identify future research potentials.", "author" : [ { "dropping-particle" : "", "family" : "Ansari", "given" : "Fazel", "non-dropping-particle" : "", "parse-names" : false, "suffix" : "" }, { "dropping-particle" : "", "family" : "Erol", "given" : "Selim", "non-dropping-particle" : "", "parse-names" : false, "suffix" : "" }, { "dropping-particle" : "", "family" : "Sihn", "given" : "Wilfried", "non-dropping-particle" : "", "parse-names" : false, "suffix" : "" } ], "container-title" : "Procedia Manufacturing", "id" : "ITEM-1", "issue" : "2017", "issued" : { "date-parts" : [ [ "2018" ] ] }, "page" : "117-122", "publisher" : "Elsevier B.V.", "title" : "Rethinking Human-Machine Learning in Industry 4.0: How Does the Paradigm Shift Treat the Role of Human Learning?", "type" : "article-journal", "volume" : "23" }, "uris" : [ "http://www.mendeley.com/documents/?uuid=f3d60883-531d-40b7-bfe6-edffdc905bdc", "http://www.mendeley.com/documents/?uuid=31c3b33c-121f-4f25-9cdd-f40dc3c5246e" ] } ], "mendeley" : { "formattedCitation" : "[5]", "plainTextFormattedCitation" : "[5]", "previouslyFormattedCitation" : "[5]" }, "properties" : { "noteIndex" : 0 }, "schema" : "https://github.com/citation-style-language/schema/raw/master/csl-citation.json" }</w:instrText>
          </w:r>
          <w:r w:rsidRPr="00C478A7">
            <w:rPr>
              <w:rFonts w:ascii="Times New Roman" w:hAnsi="Times New Roman" w:cs="Times New Roman"/>
              <w:i/>
            </w:rPr>
            <w:fldChar w:fldCharType="separate"/>
          </w:r>
          <w:r w:rsidRPr="00C478A7">
            <w:rPr>
              <w:rFonts w:ascii="Times New Roman" w:hAnsi="Times New Roman" w:cs="Times New Roman"/>
              <w:noProof/>
            </w:rPr>
            <w:t>[5]</w:t>
          </w:r>
          <w:r w:rsidRPr="00C478A7">
            <w:rPr>
              <w:rFonts w:ascii="Times New Roman" w:hAnsi="Times New Roman" w:cs="Times New Roman"/>
              <w:i/>
            </w:rPr>
            <w:fldChar w:fldCharType="end"/>
          </w:r>
          <w:r w:rsidRPr="00C478A7">
            <w:rPr>
              <w:rFonts w:ascii="Times New Roman" w:hAnsi="Times New Roman" w:cs="Times New Roman"/>
              <w:i/>
            </w:rPr>
            <w:fldChar w:fldCharType="begin" w:fldLock="1"/>
          </w:r>
          <w:r w:rsidRPr="00C478A7">
            <w:rPr>
              <w:rFonts w:ascii="Times New Roman" w:hAnsi="Times New Roman" w:cs="Times New Roman"/>
              <w:i/>
            </w:rPr>
            <w:instrText>ADDIN CSL_CITATION { "citationItems" : [ { "id" : "ITEM-1", "itemData" : { "DOI" : "10.1016/j.techfore.2018.06.027", "ISBN" : "00401625 (ISSN)", "ISSN" : "00401625", "PMID" : "16286061", "abstract" : "This paper investigates whether advanced manufacturing technologies (AMT) can modify the patterns of upgrading in manufacturing subsidiaries operating in FDI hosting factory economies. Does the digital transformation of local manufacturing engender the accumulation of local technological and R&amp;D capabilities, or the beneficial impact of AMT remains confined to production capability? Analysis is based on primary data collected through in-depth interviews with a sample of high-flying manufacturing subsidiaries in Hungary, complemented with interviews with AMT providers. We find that AMT have spectacularly improved all components of production capability. AMT redefined the boundaries of production activities and incited a fusion of selected technological activities in production activities. AMT deployment has automated selected tacit knowledge-intensive technological activities, making the related subsidiary-level capabilities obsolete. Conversely, other local technological activities have become more knowledge-intensive than before. AMT propelled the upgrading of subsidiary-level R&amp;D capabilities by supporting specific R&amp;D activities and by acting as enabler of innovation collaboration. AMT created an integrated development environment and thus reduced the risks related to the decentralisation of R&amp;D. Altogether, AMT adoption contributed to subsidiary R&amp;D capability becoming \u2018revealed\u2019 and further upgraded through learning by doing.", "author" : [ { "dropping-particle" : "", "family" : "Szalavetz", "given" : "Andrea", "non-dropping-particle" : "", "parse-names" : false, "suffix" : "" } ], "container-title" : "Technological Forecasting and Social Change", "id" : "ITEM-1", "issue" : "May", "issued" : { "date-parts" : [ [ "2018" ] ] }, "page" : "0-1", "publisher" : "Elsevier", "title" : "Industry 4.0 and capability development in manufacturing subsidiaries", "type" : "article-journal" }, "uris" : [ "http://www.mendeley.com/documents/?uuid=44d9df9a-ff13-4a65-9718-d47c286c97cc", "http://www.mendeley.com/documents/?uuid=6cc833d4-2392-4ba2-a8ca-ec5408ec02e9" ] } ], "mendeley" : { "formattedCitation" : "[6]", "plainTextFormattedCitation" : "[6]", "previouslyFormattedCitation" : "[6]" }, "properties" : { "noteIndex" : 0 }, "schema" : "https://github.com/citation-style-language/schema/raw/master/csl-citation.json" }</w:instrText>
          </w:r>
          <w:r w:rsidRPr="00C478A7">
            <w:rPr>
              <w:rFonts w:ascii="Times New Roman" w:hAnsi="Times New Roman" w:cs="Times New Roman"/>
              <w:i/>
            </w:rPr>
            <w:fldChar w:fldCharType="separate"/>
          </w:r>
          <w:r w:rsidRPr="00C478A7">
            <w:rPr>
              <w:rFonts w:ascii="Times New Roman" w:hAnsi="Times New Roman" w:cs="Times New Roman"/>
              <w:noProof/>
            </w:rPr>
            <w:t>[6]</w:t>
          </w:r>
          <w:r w:rsidRPr="00C478A7">
            <w:rPr>
              <w:rFonts w:ascii="Times New Roman" w:hAnsi="Times New Roman" w:cs="Times New Roman"/>
              <w:i/>
            </w:rPr>
            <w:fldChar w:fldCharType="end"/>
          </w:r>
          <w:r w:rsidRPr="00C478A7">
            <w:rPr>
              <w:rFonts w:ascii="Times New Roman" w:hAnsi="Times New Roman" w:cs="Times New Roman"/>
              <w:i/>
            </w:rPr>
            <w:t xml:space="preserve">. </w:t>
          </w:r>
          <w:r w:rsidRPr="00C478A7">
            <w:rPr>
              <w:rFonts w:ascii="Times New Roman" w:hAnsi="Times New Roman" w:cs="Times New Roman"/>
            </w:rPr>
            <w:t xml:space="preserve">So it is necessary to pay attention to the various competencies prepared by vocational schools to produce graduates who can compete and pay attention to the relevance of competencies of expertise with the conditions of dynamic and rapid industrial development based on industry needs in the midst of the industrial revolution 4.0 and various challenges and shifts that occur in this disruption phenomenon. Rapid technological advances need to </w:t>
          </w:r>
          <w:r w:rsidRPr="00C478A7">
            <w:rPr>
              <w:rFonts w:ascii="Times New Roman" w:hAnsi="Times New Roman" w:cs="Times New Roman"/>
            </w:rPr>
            <w:lastRenderedPageBreak/>
            <w:t>be balanced and be mastered by each teacher. Nowadays, information is easily obtained from anywhere through internet facilities.</w:t>
          </w:r>
        </w:p>
        <w:p w:rsidR="006639BF" w:rsidRPr="00C478A7" w:rsidRDefault="006639BF" w:rsidP="006639BF">
          <w:pPr>
            <w:spacing w:after="0" w:line="240" w:lineRule="auto"/>
            <w:ind w:firstLine="360"/>
            <w:jc w:val="both"/>
            <w:rPr>
              <w:rFonts w:ascii="Times New Roman" w:eastAsia="Times New Roman" w:hAnsi="Times New Roman" w:cs="Times New Roman"/>
            </w:rPr>
          </w:pPr>
          <w:r w:rsidRPr="00C478A7">
            <w:rPr>
              <w:rFonts w:ascii="Times New Roman" w:eastAsia="Times New Roman" w:hAnsi="Times New Roman" w:cs="Times New Roman"/>
              <w:lang w:val="id-ID"/>
            </w:rPr>
            <w:t>In the era of Education 4.0 as it is today, the learning process is not only done conventionally but is starting to shift to a technology-based learning process</w:t>
          </w:r>
          <w:r w:rsidRPr="00C478A7">
            <w:rPr>
              <w:rFonts w:ascii="Times New Roman" w:eastAsia="Times New Roman" w:hAnsi="Times New Roman" w:cs="Times New Roman"/>
            </w:rPr>
            <w:t xml:space="preserve"> </w:t>
          </w:r>
          <w:r w:rsidRPr="00C478A7">
            <w:rPr>
              <w:rFonts w:ascii="Times New Roman" w:eastAsia="Times New Roman" w:hAnsi="Times New Roman" w:cs="Times New Roman"/>
            </w:rPr>
            <w:fldChar w:fldCharType="begin" w:fldLock="1"/>
          </w:r>
          <w:r w:rsidRPr="00C478A7">
            <w:rPr>
              <w:rFonts w:ascii="Times New Roman" w:eastAsia="Times New Roman" w:hAnsi="Times New Roman" w:cs="Times New Roman"/>
            </w:rPr>
            <w:instrText>ADDIN CSL_CITATION { "citationItems" : [ { "id" : "ITEM-1", "itemData" : { "DOI" : "10.17220/ijpes.2018.01.002", "author" : [ { "dropping-particle" : "", "family" : "Chou", "given" : "Chun-Mei", "non-dropping-particle" : "", "parse-names" : false, "suffix" : "" }, { "dropping-particle" : "", "family" : "Shen", "given" : "Chien-Hua", "non-dropping-particle" : "", "parse-names" : false, "suffix" : "" }, { "dropping-particle" : "", "family" : "Hsiao", "given" : "Hsi-Chi", "non-dropping-particle" : "", "parse-names" : false, "suffix" : "" }, { "dropping-particle" : "", "family" : "Shen", "given" : "Tsu-Chguan", "non-dropping-particle" : "", "parse-names" : false, "suffix" : "" } ], "container-title" : "International Journal of Psychology and Educational Studies", "id" : "ITEM-1", "issue" : "1", "issued" : { "date-parts" : [ [ "2018" ] ] }, "page" : "9-14", "title" : "Industry 4.0 Manpower and its Teaching Connotation in Technical and Vocational Education: Adjust 107 Curriculum Reform", "type" : "article-journal", "volume" : "5" }, "uris" : [ "http://www.mendeley.com/documents/?uuid=85110f64-beaf-4df2-a461-809a30a651af" ] } ], "mendeley" : { "formattedCitation" : "[7]", "plainTextFormattedCitation" : "[7]", "previouslyFormattedCitation" : "[7]" }, "properties" : { "noteIndex" : 0 }, "schema" : "https://github.com/citation-style-language/schema/raw/master/csl-citation.json" }</w:instrText>
          </w:r>
          <w:r w:rsidRPr="00C478A7">
            <w:rPr>
              <w:rFonts w:ascii="Times New Roman" w:eastAsia="Times New Roman" w:hAnsi="Times New Roman" w:cs="Times New Roman"/>
            </w:rPr>
            <w:fldChar w:fldCharType="separate"/>
          </w:r>
          <w:r w:rsidRPr="00C478A7">
            <w:rPr>
              <w:rFonts w:ascii="Times New Roman" w:eastAsia="Times New Roman" w:hAnsi="Times New Roman" w:cs="Times New Roman"/>
              <w:noProof/>
            </w:rPr>
            <w:t>[7]</w:t>
          </w:r>
          <w:r w:rsidRPr="00C478A7">
            <w:rPr>
              <w:rFonts w:ascii="Times New Roman" w:eastAsia="Times New Roman" w:hAnsi="Times New Roman" w:cs="Times New Roman"/>
            </w:rPr>
            <w:fldChar w:fldCharType="end"/>
          </w:r>
          <w:r w:rsidRPr="00C478A7">
            <w:rPr>
              <w:rFonts w:ascii="Times New Roman" w:eastAsia="Times New Roman" w:hAnsi="Times New Roman" w:cs="Times New Roman"/>
              <w:lang w:val="id-ID"/>
            </w:rPr>
            <w:t>. Each school attempts to integrate technology according to their individual needs. The existence of integrated technology in school will greatly facilitate the learning process and increase student competency. E-learning, e-administration, virtual laboratories, and web sites are some examples of technology integration in the school environment</w:t>
          </w:r>
          <w:r w:rsidRPr="00C478A7">
            <w:rPr>
              <w:rFonts w:ascii="Times New Roman" w:eastAsia="Times New Roman" w:hAnsi="Times New Roman" w:cs="Times New Roman"/>
            </w:rPr>
            <w:t xml:space="preserve"> </w:t>
          </w:r>
          <w:r w:rsidRPr="00C478A7">
            <w:rPr>
              <w:rFonts w:ascii="Times New Roman" w:eastAsia="Times New Roman" w:hAnsi="Times New Roman" w:cs="Times New Roman"/>
            </w:rPr>
            <w:fldChar w:fldCharType="begin" w:fldLock="1"/>
          </w:r>
          <w:r w:rsidRPr="00C478A7">
            <w:rPr>
              <w:rFonts w:ascii="Times New Roman" w:eastAsia="Times New Roman" w:hAnsi="Times New Roman" w:cs="Times New Roman"/>
            </w:rPr>
            <w:instrText>ADDIN CSL_CITATION { "citationItems" : [ { "id" : "ITEM-1", "itemData" : { "DOI" : "10.1007/978-3-319-49625-2_1", "ISBN" : "9783319496245", "ISSN" : "18678211", "abstract" : "\u00a9 ICST Institute for Computer Sciences, Social Informatics and Telecommunications Engineering 2017.The use of e-learning in education is an ever-increasing practice. E-learning could generate effective learning for education. There are several factors affecting the creation of successful e-learning for education as well as several criteria possibly applied to evaluate the effectiveness. The \u201ctraditional\u201d way (questionnaire, interview, information system analysis) to measure effectiveness is not enough in e-learning measure of effectiveness because part of the information, that coming from social networks, will be lost. This paper, after identifying the Critical Success Factors (CSFs) of a synchronous e-learning system, and identifying the Key Performance Indicators (KPIs), proposes an approach for evaluation based on the analysis of information derived from social aspects. The paper proposes a set of CSFs and KPIs to study the students\u2019 perception and highlights how to measure the KPIs using social software information.", "author" : [ { "dropping-particle" : "", "family" : "Vincenti", "given" : "Giovanni", "non-dropping-particle" : "", "parse-names" : false, "suffix" : "" }, { "dropping-particle" : "", "family" : "Bucciero", "given" : "Alberto", "non-dropping-particle" : "", "parse-names" : false, "suffix" : "" }, { "dropping-particle" : "", "family" : "Helfert", "given" : "Markus", "non-dropping-particle" : "", "parse-names" : false, "suffix" : "" }, { "dropping-particle" : "", "family" : "Glowat", "given" : "Matthias", "non-dropping-particle" : "", "parse-names" : false, "suffix" : "" } ], "container-title" : "Lecture Notes of the Institute for Computer Sciences, Social-Informatics and Telecommunications Engineering, LNICST", "id" : "ITEM-1", "issued" : { "date-parts" : [ [ "2017" ] ] }, "number-of-pages" : "3-11", "publisher" : "Springer", "publisher-place" : "Switerland", "title" : "E-learning evaluation in education", "type" : "book", "volume" : "180" }, "uris" : [ "http://www.mendeley.com/documents/?uuid=cf7b15a9-be9a-40d0-b4bb-0d1dce3820af" ] } ], "mendeley" : { "formattedCitation" : "[8]", "plainTextFormattedCitation" : "[8]", "previouslyFormattedCitation" : "[8]" }, "properties" : { "noteIndex" : 0 }, "schema" : "https://github.com/citation-style-language/schema/raw/master/csl-citation.json" }</w:instrText>
          </w:r>
          <w:r w:rsidRPr="00C478A7">
            <w:rPr>
              <w:rFonts w:ascii="Times New Roman" w:eastAsia="Times New Roman" w:hAnsi="Times New Roman" w:cs="Times New Roman"/>
            </w:rPr>
            <w:fldChar w:fldCharType="separate"/>
          </w:r>
          <w:r w:rsidRPr="00C478A7">
            <w:rPr>
              <w:rFonts w:ascii="Times New Roman" w:eastAsia="Times New Roman" w:hAnsi="Times New Roman" w:cs="Times New Roman"/>
              <w:noProof/>
            </w:rPr>
            <w:t>[8]</w:t>
          </w:r>
          <w:r w:rsidRPr="00C478A7">
            <w:rPr>
              <w:rFonts w:ascii="Times New Roman" w:eastAsia="Times New Roman" w:hAnsi="Times New Roman" w:cs="Times New Roman"/>
            </w:rPr>
            <w:fldChar w:fldCharType="end"/>
          </w:r>
          <w:r w:rsidRPr="00C478A7">
            <w:rPr>
              <w:rFonts w:ascii="Times New Roman" w:eastAsia="Times New Roman" w:hAnsi="Times New Roman" w:cs="Times New Roman"/>
              <w:lang w:val="id-ID"/>
            </w:rPr>
            <w:t xml:space="preserve">. </w:t>
          </w:r>
          <w:r w:rsidRPr="00C478A7">
            <w:rPr>
              <w:rFonts w:ascii="Times New Roman" w:eastAsia="Times New Roman" w:hAnsi="Times New Roman" w:cs="Times New Roman"/>
            </w:rPr>
            <w:t xml:space="preserve">In addition to integrating technology, 21st century learning is a solution that educators can do in improving students' skills as a provision in facing industry 4.0 </w:t>
          </w:r>
          <w:r w:rsidRPr="00C478A7">
            <w:rPr>
              <w:rFonts w:ascii="Times New Roman" w:eastAsia="Times New Roman" w:hAnsi="Times New Roman" w:cs="Times New Roman"/>
            </w:rPr>
            <w:fldChar w:fldCharType="begin" w:fldLock="1"/>
          </w:r>
          <w:r w:rsidRPr="00C478A7">
            <w:rPr>
              <w:rFonts w:ascii="Times New Roman" w:eastAsia="Times New Roman" w:hAnsi="Times New Roman" w:cs="Times New Roman"/>
            </w:rPr>
            <w:instrText>ADDIN CSL_CITATION { "citationItems" : [ { "id" : "ITEM-1", "itemData" : { "ISBN" : "9780415243636", "abstract" : "Learning is central in knowledge-based societies and economies. In many countries there is a push to reflect this by ensuring that reforms of the education system focus more strongly on learning itself rather than simply changing structures and educational organisation. But what does a \u2018focus on learning\u2019 mean in concrete terms? Why is it important? And crucially, is the knowledge base on learning strong enough to help policy-makers shape their direction of educational change? This paper aims to shed light on these questions and provide directions from recent OECD educational analysis", "author" : [ { "dropping-particle" : "", "family" : "Ceri/Oecd", "given" : "", "non-dropping-particle" : "", "parse-names" : false, "suffix" : "" } ], "container-title" : "OECD/CERI International Conference -Learning in the 21st Century: Research, Innovation and Policy", "id" : "ITEM-1", "issued" : { "date-parts" : [ [ "2008" ] ] }, "page" : "1-13", "title" : "21st Century Learning: Research, Innovation and Policy - Directions from recent OECD analyses", "type" : "article-journal" }, "uris" : [ "http://www.mendeley.com/documents/?uuid=af06e0a7-315c-4633-b725-0e18363bddf5" ] } ], "mendeley" : { "formattedCitation" : "[9]", "plainTextFormattedCitation" : "[9]", "previouslyFormattedCitation" : "[9]" }, "properties" : { "noteIndex" : 0 }, "schema" : "https://github.com/citation-style-language/schema/raw/master/csl-citation.json" }</w:instrText>
          </w:r>
          <w:r w:rsidRPr="00C478A7">
            <w:rPr>
              <w:rFonts w:ascii="Times New Roman" w:eastAsia="Times New Roman" w:hAnsi="Times New Roman" w:cs="Times New Roman"/>
            </w:rPr>
            <w:fldChar w:fldCharType="separate"/>
          </w:r>
          <w:r w:rsidRPr="00C478A7">
            <w:rPr>
              <w:rFonts w:ascii="Times New Roman" w:eastAsia="Times New Roman" w:hAnsi="Times New Roman" w:cs="Times New Roman"/>
              <w:noProof/>
            </w:rPr>
            <w:t>[9]</w:t>
          </w:r>
          <w:r w:rsidRPr="00C478A7">
            <w:rPr>
              <w:rFonts w:ascii="Times New Roman" w:eastAsia="Times New Roman" w:hAnsi="Times New Roman" w:cs="Times New Roman"/>
            </w:rPr>
            <w:fldChar w:fldCharType="end"/>
          </w:r>
          <w:r w:rsidRPr="00C478A7">
            <w:rPr>
              <w:rFonts w:ascii="Times New Roman" w:eastAsia="Times New Roman" w:hAnsi="Times New Roman" w:cs="Times New Roman"/>
            </w:rPr>
            <w:t xml:space="preserve">.  </w:t>
          </w:r>
        </w:p>
        <w:p w:rsidR="006639BF" w:rsidRPr="00C478A7" w:rsidRDefault="006639BF" w:rsidP="006639BF">
          <w:pPr>
            <w:spacing w:after="0" w:line="240" w:lineRule="auto"/>
            <w:ind w:firstLine="360"/>
            <w:jc w:val="both"/>
            <w:rPr>
              <w:rFonts w:ascii="Times New Roman" w:hAnsi="Times New Roman" w:cs="Times New Roman"/>
            </w:rPr>
          </w:pPr>
          <w:r w:rsidRPr="00C478A7">
            <w:rPr>
              <w:rFonts w:ascii="Times New Roman" w:hAnsi="Times New Roman" w:cs="Times New Roman"/>
              <w:shd w:val="clear" w:color="auto" w:fill="FFFFFF"/>
            </w:rPr>
            <w:t xml:space="preserve">21st Century learning is characterized by learning Learning skills, skills and literacy. Learning skills are learning activities which are marked by cooperation, communication and critical and creative thinking. Skill is the ability of someone to do something that is specific, focused but dynamic that requires a certain amount of time to learn and can be proven. While literacy is the process of exposure or transfer of information to provide understanding for people who are learning and trying to understand something </w:t>
          </w:r>
          <w:r w:rsidRPr="00C478A7">
            <w:rPr>
              <w:rFonts w:ascii="Times New Roman" w:hAnsi="Times New Roman" w:cs="Times New Roman"/>
              <w:shd w:val="clear" w:color="auto" w:fill="FFFFFF"/>
            </w:rPr>
            <w:fldChar w:fldCharType="begin" w:fldLock="1"/>
          </w:r>
          <w:r w:rsidRPr="00C478A7">
            <w:rPr>
              <w:rFonts w:ascii="Times New Roman" w:hAnsi="Times New Roman" w:cs="Times New Roman"/>
              <w:shd w:val="clear" w:color="auto" w:fill="FFFFFF"/>
            </w:rPr>
            <w:instrText>ADDIN CSL_CITATION { "citationItems" : [ { "id" : "ITEM-1", "itemData" : { "DOI" : "10.1111/j.1440-1827.2012.02814.x", "ISBN" : "2095-1779", "ISSN" : "13205463", "PMID" : "22726068", "abstract" : "A 79-year-old Japanese woman was admitted to our hospital for treatment of a pancreatic tumor measuring approximately 7 \u00d7 5 cm. The tumor had invaded the left adrenal gland and gastric wall and had penetrated into the gastric cavity. Surgical resection was performed. The tumor was composed of a brown to whitish solid area and a zone of hemorrhage, necrosis, and cystic degeneration resembling the gross features of solid pseudopapillary tumor (SPT). Histologically, the tumor showed a heterogeneous growth pattern with a combination of seat-like, trabecular, papillary and hemorrhagic-necrotic areas in various proportions. The differential diagnoses first considered were acinar cell carcinoma, neuroendocrine carcinoma and SPT with malignant transformation. Immunohistochemistry showed tumor cells were negative for pancreatic exocrine enzymes and endocrine markers. Tumor cells diffusely expressed cytokeratin 19, alpha-fetoprotein, carcinoembryonic antigen and glypican-3, but lacked vimentin or \u03b2-catenin expression. Small proportions of tumor cells expressed hepatocyte paraffin-1. Although typical morphological features of well-differentiated hepatocellular carcinoma (HCC) were not distinctly apparent, the tumor morphology partly resembled poorly differentiated HCC. Given these findings and considerations, the tumor was finally diagnosed as poorly differentiated hepatoid carcinoma of the pancreas.", "author" : [ { "dropping-particle" : "", "family" : "Organisation for Economic Co-operation and Development (OECD)", "given" : "", "non-dropping-particle" : "", "parse-names" : false, "suffix" : "" } ], "container-title" : "OECD Education Working Papers", "id" : "ITEM-1", "issued" : { "date-parts" : [ [ "2018" ] ] }, "page" : "23", "title" : "The Future of Education and Skills: Education 2030", "type" : "article-journal" }, "uris" : [ "http://www.mendeley.com/documents/?uuid=cb78d9ca-131d-41c8-954c-adad0d3ac829" ] } ], "mendeley" : { "formattedCitation" : "[10]", "plainTextFormattedCitation" : "[10]", "previouslyFormattedCitation" : "[10]" }, "properties" : { "noteIndex" : 0 }, "schema" : "https://github.com/citation-style-language/schema/raw/master/csl-citation.json" }</w:instrText>
          </w:r>
          <w:r w:rsidRPr="00C478A7">
            <w:rPr>
              <w:rFonts w:ascii="Times New Roman" w:hAnsi="Times New Roman" w:cs="Times New Roman"/>
              <w:shd w:val="clear" w:color="auto" w:fill="FFFFFF"/>
            </w:rPr>
            <w:fldChar w:fldCharType="separate"/>
          </w:r>
          <w:r w:rsidRPr="00C478A7">
            <w:rPr>
              <w:rFonts w:ascii="Times New Roman" w:hAnsi="Times New Roman" w:cs="Times New Roman"/>
              <w:noProof/>
              <w:shd w:val="clear" w:color="auto" w:fill="FFFFFF"/>
            </w:rPr>
            <w:t>[10]</w:t>
          </w:r>
          <w:r w:rsidRPr="00C478A7">
            <w:rPr>
              <w:rFonts w:ascii="Times New Roman" w:hAnsi="Times New Roman" w:cs="Times New Roman"/>
              <w:shd w:val="clear" w:color="auto" w:fill="FFFFFF"/>
            </w:rPr>
            <w:fldChar w:fldCharType="end"/>
          </w:r>
          <w:r w:rsidRPr="00C478A7">
            <w:rPr>
              <w:rFonts w:ascii="Times New Roman" w:hAnsi="Times New Roman" w:cs="Times New Roman"/>
              <w:shd w:val="clear" w:color="auto" w:fill="FFFFFF"/>
            </w:rPr>
            <w:t xml:space="preserve">. The field of education hopes that by implementing the 21st century learning it will produce graduates within  productive age generations who have great quality and skills in order to face the challenges of the industrial revolution 4.0 </w:t>
          </w:r>
          <w:r w:rsidRPr="00C478A7">
            <w:rPr>
              <w:rFonts w:ascii="Times New Roman" w:hAnsi="Times New Roman" w:cs="Times New Roman"/>
              <w:shd w:val="clear" w:color="auto" w:fill="FFFFFF"/>
            </w:rPr>
            <w:fldChar w:fldCharType="begin" w:fldLock="1"/>
          </w:r>
          <w:r w:rsidRPr="00C478A7">
            <w:rPr>
              <w:rFonts w:ascii="Times New Roman" w:hAnsi="Times New Roman" w:cs="Times New Roman"/>
              <w:shd w:val="clear" w:color="auto" w:fill="FFFFFF"/>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"uris" : [ "http://www.mendeley.com/documents/?uuid=23ff2e59-38a8-48ba-804f-27f6afa07ee4" ] } ], "mendeley" : { "formattedCitation" : "[11]", "plainTextFormattedCitation" : "[11]", "previouslyFormattedCitation" : "[11]" }, "properties" : { "noteIndex" : 0 }, "schema" : "https://github.com/citation-style-language/schema/raw/master/csl-citation.json" }</w:instrText>
          </w:r>
          <w:r w:rsidRPr="00C478A7">
            <w:rPr>
              <w:rFonts w:ascii="Times New Roman" w:hAnsi="Times New Roman" w:cs="Times New Roman"/>
              <w:shd w:val="clear" w:color="auto" w:fill="FFFFFF"/>
            </w:rPr>
            <w:fldChar w:fldCharType="separate"/>
          </w:r>
          <w:r w:rsidRPr="00C478A7">
            <w:rPr>
              <w:rFonts w:ascii="Times New Roman" w:hAnsi="Times New Roman" w:cs="Times New Roman"/>
              <w:noProof/>
              <w:shd w:val="clear" w:color="auto" w:fill="FFFFFF"/>
            </w:rPr>
            <w:t>[11]</w:t>
          </w:r>
          <w:r w:rsidRPr="00C478A7">
            <w:rPr>
              <w:rFonts w:ascii="Times New Roman" w:hAnsi="Times New Roman" w:cs="Times New Roman"/>
              <w:shd w:val="clear" w:color="auto" w:fill="FFFFFF"/>
            </w:rPr>
            <w:fldChar w:fldCharType="end"/>
          </w:r>
          <w:r w:rsidRPr="00C478A7">
            <w:rPr>
              <w:rFonts w:ascii="Times New Roman" w:hAnsi="Times New Roman" w:cs="Times New Roman"/>
              <w:shd w:val="clear" w:color="auto" w:fill="FFFFFF"/>
            </w:rPr>
            <w:t>.</w:t>
          </w:r>
        </w:p>
        <w:p w:rsidR="002F079E" w:rsidRDefault="006639BF" w:rsidP="006639BF">
          <w:pPr>
            <w:pBdr>
              <w:top w:val="nil"/>
              <w:left w:val="nil"/>
              <w:bottom w:val="nil"/>
              <w:right w:val="nil"/>
              <w:between w:val="nil"/>
            </w:pBdr>
            <w:tabs>
              <w:tab w:val="left" w:pos="567"/>
            </w:tabs>
            <w:spacing w:after="0" w:line="240" w:lineRule="auto"/>
            <w:ind w:firstLine="360"/>
            <w:jc w:val="both"/>
            <w:rPr>
              <w:rFonts w:ascii="Times New Roman" w:eastAsia="Times New Roman" w:hAnsi="Times New Roman" w:cs="Times New Roman"/>
              <w:color w:val="000000"/>
            </w:rPr>
          </w:pPr>
          <w:r w:rsidRPr="00C478A7">
            <w:rPr>
              <w:rFonts w:ascii="Times New Roman" w:eastAsia="ArialUnicodeMS" w:hAnsi="Times New Roman" w:cs="Times New Roman"/>
            </w:rPr>
            <w:t>This research aims to examine the readiness of teachers in facing the industrial revolution 4.0 and the 21st century learning. Educators and researchers can use this information to identify unanswered issues or questions in the literature and define the direction of future research regarding the readiness of teachers in facing the industrial revolution 4.0 and the 21st century learning</w:t>
          </w:r>
          <w:r w:rsidR="00B42C7C">
            <w:rPr>
              <w:rFonts w:ascii="Times New Roman" w:eastAsia="Times New Roman" w:hAnsi="Times New Roman" w:cs="Times New Roman"/>
              <w:color w:val="000000"/>
            </w:rPr>
            <w:t xml:space="preserve">. </w:t>
          </w:r>
        </w:p>
      </w:sdtContent>
    </w:sdt>
    <w:sdt>
      <w:sdtPr>
        <w:tag w:val="goog_rdk_10"/>
        <w:id w:val="324559645"/>
      </w:sdtPr>
      <w:sdtEndPr/>
      <w:sdtContent>
        <w:p w:rsidR="00C4211A" w:rsidRDefault="00C4211A">
          <w:pPr>
            <w:pBdr>
              <w:top w:val="nil"/>
              <w:left w:val="nil"/>
              <w:bottom w:val="nil"/>
              <w:right w:val="nil"/>
              <w:between w:val="nil"/>
            </w:pBdr>
            <w:tabs>
              <w:tab w:val="left" w:pos="567"/>
            </w:tabs>
            <w:spacing w:after="0" w:line="240" w:lineRule="auto"/>
            <w:jc w:val="both"/>
          </w:pPr>
        </w:p>
        <w:sdt>
          <w:sdtPr>
            <w:tag w:val="goog_rdk_71"/>
            <w:id w:val="-280489492"/>
          </w:sdtPr>
          <w:sdtEndPr/>
          <w:sdtContent>
            <w:p w:rsidR="00C4211A" w:rsidRDefault="00C4211A" w:rsidP="00C421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Methods </w:t>
              </w:r>
            </w:p>
          </w:sdtContent>
        </w:sdt>
        <w:sdt>
          <w:sdtPr>
            <w:tag w:val="goog_rdk_72"/>
            <w:id w:val="-696081790"/>
          </w:sdtPr>
          <w:sdtEndPr/>
          <w:sdtContent>
            <w:p w:rsidR="00C4211A" w:rsidRDefault="00C4211A" w:rsidP="00C4211A">
              <w:pPr>
                <w:spacing w:after="240"/>
                <w:jc w:val="both"/>
                <w:rPr>
                  <w:rFonts w:ascii="Times New Roman" w:eastAsia="Times New Roman" w:hAnsi="Times New Roman" w:cs="Times New Roman"/>
                  <w:color w:val="000000"/>
                </w:rPr>
              </w:pPr>
              <w:r w:rsidRPr="00C478A7">
                <w:rPr>
                  <w:rFonts w:ascii="Times New Roman" w:hAnsi="Times New Roman" w:cs="Times New Roman"/>
                </w:rPr>
                <w:t>Literature review was identified by browsing the Web of Science database, followed by exploring Scopus database by entering the keywords "</w:t>
              </w:r>
              <w:r w:rsidRPr="00C478A7">
                <w:rPr>
                  <w:rFonts w:ascii="Times New Roman" w:hAnsi="Times New Roman" w:cs="Times New Roman"/>
                  <w:i/>
                </w:rPr>
                <w:t>21st century education</w:t>
              </w:r>
              <w:r w:rsidRPr="00C478A7">
                <w:rPr>
                  <w:rFonts w:ascii="Times New Roman" w:hAnsi="Times New Roman" w:cs="Times New Roman"/>
                </w:rPr>
                <w:t>" and "</w:t>
              </w:r>
              <w:r w:rsidRPr="00C478A7">
                <w:rPr>
                  <w:rFonts w:ascii="Times New Roman" w:hAnsi="Times New Roman" w:cs="Times New Roman"/>
                  <w:i/>
                </w:rPr>
                <w:t>industrial revolution 4.0</w:t>
              </w:r>
              <w:r w:rsidRPr="00C478A7">
                <w:rPr>
                  <w:rFonts w:ascii="Times New Roman" w:hAnsi="Times New Roman" w:cs="Times New Roman"/>
                </w:rPr>
                <w:t>". 20 relevant articles were obtained and read, analyzed and coded using a spreadsheet program</w:t>
              </w:r>
              <w:r>
                <w:rPr>
                  <w:rFonts w:ascii="Times New Roman" w:eastAsia="Times New Roman" w:hAnsi="Times New Roman" w:cs="Times New Roman"/>
                  <w:color w:val="000000"/>
                </w:rPr>
                <w:t>.</w:t>
              </w:r>
            </w:p>
          </w:sdtContent>
        </w:sdt>
        <w:p w:rsidR="00C4211A" w:rsidRPr="00C478A7" w:rsidRDefault="00C4211A" w:rsidP="00C4211A">
          <w:pPr>
            <w:spacing w:after="0" w:line="240" w:lineRule="auto"/>
            <w:jc w:val="both"/>
            <w:rPr>
              <w:rFonts w:ascii="Times New Roman" w:hAnsi="Times New Roman" w:cs="Times New Roman"/>
              <w:b/>
            </w:rPr>
          </w:pPr>
          <w:r w:rsidRPr="00C478A7">
            <w:rPr>
              <w:rFonts w:ascii="Times New Roman" w:hAnsi="Times New Roman" w:cs="Times New Roman"/>
              <w:b/>
            </w:rPr>
            <w:t xml:space="preserve">Coding Scheme </w:t>
          </w:r>
        </w:p>
        <w:p w:rsidR="00C4211A" w:rsidRPr="00C478A7" w:rsidRDefault="00C4211A" w:rsidP="00C4211A">
          <w:pPr>
            <w:spacing w:after="0" w:line="240" w:lineRule="auto"/>
            <w:jc w:val="both"/>
            <w:rPr>
              <w:rFonts w:ascii="Times New Roman" w:hAnsi="Times New Roman" w:cs="Times New Roman"/>
            </w:rPr>
          </w:pPr>
          <w:r w:rsidRPr="00C478A7">
            <w:rPr>
              <w:rFonts w:ascii="Times New Roman" w:hAnsi="Times New Roman" w:cs="Times New Roman"/>
            </w:rPr>
            <w:t>The coding scheme was adapted from a structured / systemic approach to the literature review. The approach used four main categories in analyzing articles, namely the following:</w:t>
          </w:r>
        </w:p>
        <w:p w:rsidR="00C4211A" w:rsidRPr="00C478A7" w:rsidRDefault="00C4211A" w:rsidP="00C4211A">
          <w:pPr>
            <w:numPr>
              <w:ilvl w:val="0"/>
              <w:numId w:val="4"/>
            </w:numPr>
            <w:spacing w:after="0" w:line="240" w:lineRule="auto"/>
            <w:contextualSpacing/>
            <w:jc w:val="both"/>
            <w:rPr>
              <w:rFonts w:ascii="Times New Roman" w:hAnsi="Times New Roman" w:cs="Times New Roman"/>
            </w:rPr>
          </w:pPr>
          <w:r w:rsidRPr="00C478A7">
            <w:rPr>
              <w:rFonts w:ascii="Times New Roman" w:hAnsi="Times New Roman" w:cs="Times New Roman"/>
            </w:rPr>
            <w:t>Basic data: author, year of publication, journal, location of study</w:t>
          </w:r>
        </w:p>
        <w:p w:rsidR="00C4211A" w:rsidRPr="00C478A7" w:rsidRDefault="00C4211A" w:rsidP="00C4211A">
          <w:pPr>
            <w:numPr>
              <w:ilvl w:val="0"/>
              <w:numId w:val="4"/>
            </w:numPr>
            <w:spacing w:after="0" w:line="240" w:lineRule="auto"/>
            <w:contextualSpacing/>
            <w:jc w:val="both"/>
            <w:rPr>
              <w:rFonts w:ascii="Times New Roman" w:hAnsi="Times New Roman" w:cs="Times New Roman"/>
            </w:rPr>
          </w:pPr>
          <w:r w:rsidRPr="00C478A7">
            <w:rPr>
              <w:rFonts w:ascii="Times New Roman" w:hAnsi="Times New Roman" w:cs="Times New Roman"/>
            </w:rPr>
            <w:t>Research methods: research approaches, methods, themes, data collection, method of analysis, research results</w:t>
          </w:r>
        </w:p>
        <w:p w:rsidR="00C4211A" w:rsidRDefault="00C4211A" w:rsidP="00C4211A">
          <w:pPr>
            <w:numPr>
              <w:ilvl w:val="0"/>
              <w:numId w:val="4"/>
            </w:numPr>
            <w:spacing w:after="0" w:line="240" w:lineRule="auto"/>
            <w:contextualSpacing/>
            <w:jc w:val="both"/>
            <w:rPr>
              <w:rFonts w:ascii="Times New Roman" w:hAnsi="Times New Roman" w:cs="Times New Roman"/>
            </w:rPr>
          </w:pPr>
          <w:r w:rsidRPr="00C478A7">
            <w:rPr>
              <w:rFonts w:ascii="Times New Roman" w:hAnsi="Times New Roman" w:cs="Times New Roman"/>
            </w:rPr>
            <w:t>Content analysis: industry revolution 4.0, 21st century education, ICT literacy, content areas and designed pathways (i.e., how researchers / educators prepare education for students in the face of the industrial revolution 4.0 and the 21st century learning)</w:t>
          </w:r>
        </w:p>
        <w:p w:rsidR="00C4211A" w:rsidRPr="00C4211A" w:rsidRDefault="00C4211A" w:rsidP="00C4211A">
          <w:pPr>
            <w:numPr>
              <w:ilvl w:val="0"/>
              <w:numId w:val="4"/>
            </w:numPr>
            <w:spacing w:after="0" w:line="240" w:lineRule="auto"/>
            <w:contextualSpacing/>
            <w:jc w:val="both"/>
            <w:rPr>
              <w:rFonts w:ascii="Times New Roman" w:hAnsi="Times New Roman" w:cs="Times New Roman"/>
            </w:rPr>
          </w:pPr>
          <w:r w:rsidRPr="00C4211A">
            <w:rPr>
              <w:rFonts w:ascii="Times New Roman" w:hAnsi="Times New Roman" w:cs="Times New Roman"/>
            </w:rPr>
            <w:t>Discussion: issues discussed, future instructions, personal comments</w:t>
          </w:r>
        </w:p>
        <w:p w:rsidR="002F079E" w:rsidRDefault="00BA78D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11"/>
        <w:id w:val="-1391421483"/>
      </w:sdtPr>
      <w:sdtEndPr/>
      <w:sdtContent>
        <w:p w:rsidR="00C4211A" w:rsidRDefault="00C4211A">
          <w:pPr>
            <w:pBdr>
              <w:top w:val="nil"/>
              <w:left w:val="nil"/>
              <w:bottom w:val="nil"/>
              <w:right w:val="nil"/>
              <w:between w:val="nil"/>
            </w:pBdr>
            <w:tabs>
              <w:tab w:val="left" w:pos="567"/>
            </w:tabs>
            <w:spacing w:after="0" w:line="240" w:lineRule="auto"/>
            <w:jc w:val="both"/>
          </w:pPr>
        </w:p>
        <w:sdt>
          <w:sdtPr>
            <w:tag w:val="goog_rdk_71"/>
            <w:id w:val="1320313187"/>
          </w:sdtPr>
          <w:sdtEndPr/>
          <w:sdtContent>
            <w:p w:rsidR="00C4211A" w:rsidRDefault="00C4211A" w:rsidP="00C421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Literature Review Result </w:t>
              </w:r>
            </w:p>
          </w:sdtContent>
        </w:sdt>
        <w:p w:rsidR="002F079E" w:rsidRDefault="00C4211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00B42C7C">
            <w:rPr>
              <w:rFonts w:ascii="Times New Roman" w:eastAsia="Times New Roman" w:hAnsi="Times New Roman" w:cs="Times New Roman"/>
              <w:i/>
              <w:color w:val="000000"/>
            </w:rPr>
            <w:t xml:space="preserve">.1. </w:t>
          </w:r>
          <w:r>
            <w:rPr>
              <w:rFonts w:ascii="Times New Roman" w:eastAsia="Times New Roman" w:hAnsi="Times New Roman" w:cs="Times New Roman"/>
              <w:i/>
              <w:color w:val="000000"/>
            </w:rPr>
            <w:t>Industrial Revolution 4.0</w:t>
          </w:r>
        </w:p>
      </w:sdtContent>
    </w:sdt>
    <w:sdt>
      <w:sdtPr>
        <w:tag w:val="goog_rdk_12"/>
        <w:id w:val="381209514"/>
      </w:sdtPr>
      <w:sdtEndPr/>
      <w:sdtContent>
        <w:p w:rsidR="00C4211A" w:rsidRPr="00C478A7" w:rsidRDefault="00C4211A" w:rsidP="00C4211A">
          <w:pPr>
            <w:spacing w:after="0" w:line="240" w:lineRule="auto"/>
            <w:jc w:val="both"/>
            <w:rPr>
              <w:rFonts w:ascii="Times New Roman" w:hAnsi="Times New Roman" w:cs="Times New Roman"/>
              <w:b/>
            </w:rPr>
          </w:pPr>
          <w:r w:rsidRPr="00C478A7">
            <w:rPr>
              <w:rFonts w:ascii="Times New Roman" w:hAnsi="Times New Roman" w:cs="Times New Roman"/>
            </w:rPr>
            <w:t xml:space="preserve">Industry 4.0 was first coined at the Hannover Fair in 2011, and the term has attracted a lot of attention from various groups, ranging from academics, practitioners, government officials, and politicians around the world. Industry 4.0 is a current trend towards automation and data exchange in manufacturing technology. This includes cyberphysical systems, the Internet of Things, and cloud computing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"Kagermann", "given" : "Henning", "non-dropping-particle" : "", "parse-names" : false, "suffix" : "" }, { "dropping-particle" : "", "family" : "Anderl", "given" : "Reiner", "non-dropping-particle" : "", "parse-names" : false, "suffix" : "" } ], "id" : "ITEM-1", "issued" : { "date-parts" : [ [ "2013" ] ] }, "publisher" : "Acatech", "title" : "Industrie 4.0 in a Global Context", "type" : "book" }, "uris" : [ "http://www.mendeley.com/documents/?uuid=103bb445-f8dc-45b5-a8da-27caca057c0a" ] } ], "mendeley" : { "formattedCitation" : "[12]", "plainTextFormattedCitation" : "[12]", "previouslyFormattedCitation" : "[12]"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[12]</w:t>
          </w:r>
          <w:r w:rsidRPr="00C478A7">
            <w:rPr>
              <w:rFonts w:ascii="Times New Roman" w:hAnsi="Times New Roman" w:cs="Times New Roman"/>
            </w:rPr>
            <w:fldChar w:fldCharType="end"/>
          </w:r>
          <w:r w:rsidRPr="00C478A7">
            <w:rPr>
              <w:rFonts w:ascii="Times New Roman" w:hAnsi="Times New Roman" w:cs="Times New Roman"/>
              <w:lang w:val="id-ID"/>
            </w:rPr>
            <w:t xml:space="preserve">. Industry 4.0 creates what is referred to as a "smart factory". In a modular, structured smart factory, the physical system monitors cyber-physical processes, makes virtual copies of the physical world, and makes decentralized decisions. The Internet of Things refers to cyberphysical systems that communicate </w:t>
          </w:r>
          <w:r w:rsidRPr="00C478A7">
            <w:rPr>
              <w:rFonts w:ascii="Times New Roman" w:hAnsi="Times New Roman" w:cs="Times New Roman"/>
              <w:lang w:val="id-ID"/>
            </w:rPr>
            <w:lastRenderedPageBreak/>
            <w:t>and work with each other and with humans in real time through internet services, through which both internal and cross-organizational services are offered and used by participants throughout the value chain</w:t>
          </w:r>
          <w:r w:rsidRPr="00C478A7">
            <w:rPr>
              <w:rFonts w:ascii="Times New Roman" w:hAnsi="Times New Roman" w:cs="Times New Roman"/>
            </w:rPr>
            <w:t xml:space="preserve">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"Hermann, M., Pentek, T., &amp; Otto", "given" : "B", "non-dropping-particle" : "", "parse-names" : false, "suffix" : "" } ], "container-title" : "Presented at the 49th Hawaiian International Conference on Systems Science", "id" : "ITEM-1", "issued" : { "date-parts" : [ [ "2016" ] ] }, "title" : "Design Principles for Industrie 4.0 Scenarios", "type" : "article-journal" }, "uris" : [ "http://www.mendeley.com/documents/?uuid=85bb875d-ec59-49fa-81c2-ad2dc82c399a" ] } ], "mendeley" : { "formattedCitation" : "[13]", "plainTextFormattedCitation" : "[13]", "previouslyFormattedCitation" : "[13]"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[13]</w:t>
          </w:r>
          <w:r w:rsidRPr="00C478A7">
            <w:rPr>
              <w:rFonts w:ascii="Times New Roman" w:hAnsi="Times New Roman" w:cs="Times New Roman"/>
            </w:rPr>
            <w:fldChar w:fldCharType="end"/>
          </w:r>
        </w:p>
        <w:p w:rsidR="00C4211A" w:rsidRPr="00C478A7" w:rsidRDefault="00C4211A" w:rsidP="00C4211A">
          <w:pPr>
            <w:pStyle w:val="ListParagraph"/>
            <w:spacing w:after="0" w:line="240" w:lineRule="auto"/>
            <w:ind w:left="0" w:firstLine="360"/>
            <w:jc w:val="both"/>
            <w:rPr>
              <w:rFonts w:ascii="Times New Roman" w:hAnsi="Times New Roman" w:cs="Times New Roman"/>
            </w:rPr>
          </w:pPr>
          <w:r w:rsidRPr="00C478A7">
            <w:rPr>
              <w:rFonts w:ascii="Times New Roman" w:hAnsi="Times New Roman" w:cs="Times New Roman"/>
            </w:rPr>
            <w:t xml:space="preserve">In addition, the 4.0 industrial revolution will show the dependence of industry and work environment on the </w:t>
          </w:r>
          <w:r w:rsidRPr="00C478A7">
            <w:rPr>
              <w:rFonts w:ascii="Times New Roman" w:hAnsi="Times New Roman" w:cs="Times New Roman"/>
              <w:i/>
            </w:rPr>
            <w:t>Cyber Physical System</w:t>
          </w:r>
          <w:r w:rsidRPr="00C478A7">
            <w:rPr>
              <w:rFonts w:ascii="Times New Roman" w:hAnsi="Times New Roman" w:cs="Times New Roman"/>
            </w:rPr>
            <w:t xml:space="preserve"> (CPS) and its implementation on </w:t>
          </w:r>
          <w:r w:rsidRPr="00C478A7">
            <w:rPr>
              <w:rFonts w:ascii="Times New Roman" w:hAnsi="Times New Roman" w:cs="Times New Roman"/>
              <w:i/>
            </w:rPr>
            <w:t xml:space="preserve">smart factory </w:t>
          </w:r>
          <w:r w:rsidRPr="00C478A7">
            <w:rPr>
              <w:rFonts w:ascii="Times New Roman" w:hAnsi="Times New Roman" w:cs="Times New Roman"/>
              <w:i/>
            </w:rPr>
            <w:fldChar w:fldCharType="begin" w:fldLock="1"/>
          </w:r>
          <w:r w:rsidRPr="00C478A7">
            <w:rPr>
              <w:rFonts w:ascii="Times New Roman" w:hAnsi="Times New Roman" w:cs="Times New Roman"/>
              <w:i/>
            </w:rPr>
            <w:instrText>ADDIN CSL_CITATION { "citationItems" : [ { "id" : "ITEM-1", "itemData" : { "DOI" : "10.1109/FSKD.2015.7382284", "ISBN" : "9781467376822", "ISSN" : "01663615", "PMID" : "49", "abstract" : "IEEE Xplore. Delivering full text access to the world's highest quality technical literature in engineering and technology.", "author" : [ { "dropping-particle" : "", "family" : "Zhou", "given" : "Keliang", "non-dropping-particle" : "", "parse-names" : false, "suffix" : "" }, { "dropping-particle" : "", "family" : "Liu", "given" : "Taigang", "non-dropping-particle" : "", "parse-names" : false, "suffix" : "" }, { "dropping-particle" : "", "family" : "Zhou", "given" : "Lifeng", "non-dropping-particle" : "", "parse-names" : false, "suffix" : "" } ], "container-title" : "2015 12th International Conference on Fuzzy Systems and Knowledge Discovery, FSKD 2015", "id" : "ITEM-1", "issued" : { "date-parts" : [ [ "2016" ] ] }, "page" : "2147-2152", "title" : "Industry 4.0: Towards future industrial opportunities and challenges", "type" : "article-journal" }, "uris" : [ "http://www.mendeley.com/documents/?uuid=7f359956-4813-45fa-97e2-a1e8d7bc466c", "http://www.mendeley.com/documents/?uuid=006eef5d-d440-4904-8735-09397f4a7e12" ] } ], "mendeley" : { "formattedCitation" : "[2]", "plainTextFormattedCitation" : "[2]", "previouslyFormattedCitation" : "[2]" }, "properties" : { "noteIndex" : 0 }, "schema" : "https://github.com/citation-style-language/schema/raw/master/csl-citation.json" }</w:instrText>
          </w:r>
          <w:r w:rsidRPr="00C478A7">
            <w:rPr>
              <w:rFonts w:ascii="Times New Roman" w:hAnsi="Times New Roman" w:cs="Times New Roman"/>
              <w:i/>
            </w:rPr>
            <w:fldChar w:fldCharType="separate"/>
          </w:r>
          <w:r w:rsidRPr="00C478A7">
            <w:rPr>
              <w:rFonts w:ascii="Times New Roman" w:hAnsi="Times New Roman" w:cs="Times New Roman"/>
              <w:noProof/>
            </w:rPr>
            <w:t>[2]</w:t>
          </w:r>
          <w:r w:rsidRPr="00C478A7">
            <w:rPr>
              <w:rFonts w:ascii="Times New Roman" w:hAnsi="Times New Roman" w:cs="Times New Roman"/>
              <w:i/>
            </w:rPr>
            <w:fldChar w:fldCharType="end"/>
          </w:r>
          <w:r w:rsidRPr="00C478A7">
            <w:rPr>
              <w:rFonts w:ascii="Times New Roman" w:hAnsi="Times New Roman" w:cs="Times New Roman"/>
              <w:i/>
            </w:rPr>
            <w:t xml:space="preserve">. </w:t>
          </w:r>
          <w:r w:rsidRPr="00C478A7">
            <w:rPr>
              <w:rFonts w:ascii="Times New Roman" w:hAnsi="Times New Roman" w:cs="Times New Roman"/>
            </w:rPr>
            <w:t xml:space="preserve">Various aspects include the most important expertise competencies that will be much affected by the industrial revolution 4.0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"10.1016/j.promfg.2017.07.282", "ISBN" : "3904325582", "ISSN" : "2351-9789", "author" : [ { "dropping-particle" : "", "family" : "Motyl", "given" : "Barbara", "non-dropping-particle" : "", "parse-names" : false, "suffix" : "" }, { "dropping-particle" : "", "family" : "Baronio", "given" : "Gabriele", "non-dropping-particle" : "", "parse-names" : false, "suffix" : "" }, { "dropping-particle" : "", "family" : "Uberti", "given" : "Stefano", "non-dropping-particle" : "", "parse-names" : false, "suffix" : "" }, { "dropping-particle" : "", "family" : "Speranza", "given" : "Domenico", "non-dropping-particle" : "", "parse-names" : false, "suffix" : "" }, { "dropping-particle" : "", "family" : "Filippi", "given" : "Stefano", "non-dropping-particle" : "", "parse-names" : false, "suffix" : "" } ], "container-title" : "Procedia Manufacturing", "id" : "ITEM-1", "issue" : "June", "issued" : { "date-parts" : [ [ "2017" ] ] }, "page" : "1501-1509", "publisher" : "The Author(s)", "title" : "How will change the future engineers ' skills in the Industry 4 . 0 framework ? A questionnaire survey", "type" : "article-journal", "volume" : "11" }, "uris" : [ "http://www.mendeley.com/documents/?uuid=d948433b-27cc-4f42-956e-7aef93094551" ] } ], "mendeley" : { "formattedCitation" : "[14]", "plainTextFormattedCitation" : "[14]", "previouslyFormattedCitation" : "[14]"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[14]</w:t>
          </w:r>
          <w:r w:rsidRPr="00C478A7">
            <w:rPr>
              <w:rFonts w:ascii="Times New Roman" w:hAnsi="Times New Roman" w:cs="Times New Roman"/>
            </w:rPr>
            <w:fldChar w:fldCharType="end"/>
          </w:r>
          <w:r w:rsidRPr="00C478A7">
            <w:rPr>
              <w:rFonts w:ascii="Times New Roman" w:hAnsi="Times New Roman" w:cs="Times New Roman"/>
            </w:rPr>
            <w:t xml:space="preserve"> accompanied by the rapid phenomenon of disruption. Workers in the future will be highly demanded to have a high level of skill and proficiency in the use of various CPS-based technological advances which are clearly very different from the current industry conditions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"10.1016/j.cie.2019.01.052", "ISSN" : "0360-8352", "author" : [ { "dropping-particle" : "", "family" : "Kaasinen", "given" : "Eija", "non-dropping-particle" : "", "parse-names" : false, "suffix" : "" }, { "dropping-particle" : "", "family" : "Schmalfu\u00df", "given" : "Franziska", "non-dropping-particle" : "", "parse-names" : false, "suffix" : "" }, { "dropping-particle" : "", "family" : "\u00d6zturk", "given" : "Cemalettin", "non-dropping-particle" : "", "parse-names" : false, "suffix" : "" }, { "dropping-particle" : "", "family" : "Aromaa", "given" : "Susanna", "non-dropping-particle" : "", "parse-names" : false, "suffix" : "" }, { "dropping-particle" : "", "family" : "Boubekeuer", "given" : "Menouer", "non-dropping-particle" : "", "parse-names" : false, "suffix" : "" }, { "dropping-particle" : "", "family" : "Heilala", "given" : "Juhani", "non-dropping-particle" : "", "parse-names" : false, "suffix" : "" }, { "dropping-particle" : "", "family" : "Heikkil\u00e4", "given" : "P\u00e4ivi", "non-dropping-particle" : "", "parse-names" : false, "suffix" : "" }, { "dropping-particle" : "", "family" : "Kuula", "given" : "Timo", "non-dropping-particle" : "", "parse-names" : false, "suffix" : "" }, { "dropping-particle" : "", "family" : "Mach", "given" : "Sebastian", "non-dropping-particle" : "", "parse-names" : false, "suffix" : "" }, { "dropping-particle" : "", "family" : "Mehta", "given" : "Rakesh", "non-dropping-particle" : "", "parse-names" : false, "suffix" : "" }, { "dropping-particle" : "", "family" : "Pet\u00e4j\u00e4", "given" : "Esko", "non-dropping-particle" : "", "parse-names" : false, "suffix" : "" }, { "dropping-particle" : "", "family" : "Walter", "given" : "Thomas", "non-dropping-particle" : "", "parse-names" : false, "suffix" : "" } ], "container-title" : "Computers &amp; Industrial Engineering", "id" : "ITEM-1", "issued" : { "date-parts" : [ [ "2019" ] ] }, "publisher" : "Elsevier Ltd", "title" : "Empowering and engaging industrial workers with Operator 4 . 0", "type" : "article-journal" }, "uris" : [ "http://www.mendeley.com/documents/?uuid=9eea8e21-05df-4664-b945-114ad8d7d022" ] } ], "mendeley" : { "formattedCitation" : "[15]", "plainTextFormattedCitation" : "[15]", "previouslyFormattedCitation" : "[15]"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[15]</w:t>
          </w:r>
          <w:r w:rsidRPr="00C478A7">
            <w:rPr>
              <w:rFonts w:ascii="Times New Roman" w:hAnsi="Times New Roman" w:cs="Times New Roman"/>
            </w:rPr>
            <w:fldChar w:fldCharType="end"/>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"10.1016/j.bmcl.2006.06.032", "ISBN" : "978-3-95861-543-4", "ISSN" : "0960894X", "author" : [ { "dropping-particle" : "", "family" : "Schr\u00f6der", "given" : "Christian", "non-dropping-particle" : "", "parse-names" : false, "suffix" : "" } ], "container-title" : "the Friedrich-Ebert-Stiftung", "id" : "ITEM-1", "issued" : { "date-parts" : [ [ "2016" ] ] }, "page" : "28", "title" : "The Challenges of Industry 4.0 for Small and Medium-sized Enterprises a good society \u2013 social democracy # 2017 plus", "type" : "article-journal" }, "uris" : [ "http://www.mendeley.com/documents/?uuid=1efd3045-2d47-4e13-8f87-1b297712a68d", "http://www.mendeley.com/documents/?uuid=b5309651-76dc-4cb5-8b89-e1e3cf2030be" ] }, { "id" : "ITEM-2", "itemData" : { "DOI" : "10.1016/J.ENG.2017.05.015", "ISSN" : "2095-8099", "author" : [ { "dropping-particle" : "", "family" : "Zhong", "given" : "Ray Y", "non-dropping-particle" : "", "parse-names" : false, "suffix" : "" }, { "dropping-particle" : "", "family" : "Xu", "given" : "Xun", "non-dropping-particle" : "", "parse-names" : false, "suffix" : "" }, { "dropping-particle" : "", "family" : "Klotz", "given" : "Eberhard", "non-dropping-particle" : "", "parse-names" : false, "suffix" : "" }, { "dropping-particle" : "", "family" : "Newman", "given" : "Stephen T", "non-dropping-particle" : "", "parse-names" : false, "suffix" : "" } ], "container-title" : "Engineering", "id" : "ITEM-2", "issue" : "5", "issued" : { "date-parts" : [ [ "2017" ] ] }, "page" : "616-630", "publisher" : "Elsevier LTD on behalf of Chinese Academy of Engineering and Higher Education Press Limited Company", "title" : "Intelligent Manufacturing in the Context of Industry 4 . 0 : A Review", "type" : "article-journal", "volume" : "3" }, "uris" : [ "http://www.mendeley.com/documents/?uuid=b8283527-0b4f-46e3-9d8f-6702c416c0a2" ] } ], "mendeley" : { "formattedCitation" : "[16], [17]", "plainTextFormattedCitation" : "[16], [17]", "previouslyFormattedCitation" : "[16], [17]"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[16], [17]</w:t>
          </w:r>
          <w:r w:rsidRPr="00C478A7">
            <w:rPr>
              <w:rFonts w:ascii="Times New Roman" w:hAnsi="Times New Roman" w:cs="Times New Roman"/>
            </w:rPr>
            <w:fldChar w:fldCharType="end"/>
          </w:r>
          <w:r w:rsidRPr="00C478A7">
            <w:rPr>
              <w:rFonts w:ascii="Times New Roman" w:hAnsi="Times New Roman" w:cs="Times New Roman"/>
            </w:rPr>
            <w:t>.</w:t>
          </w:r>
        </w:p>
        <w:p w:rsidR="002F079E" w:rsidRDefault="00C4211A" w:rsidP="00C4211A">
          <w:pPr>
            <w:pBdr>
              <w:top w:val="nil"/>
              <w:left w:val="nil"/>
              <w:bottom w:val="nil"/>
              <w:right w:val="nil"/>
              <w:between w:val="nil"/>
            </w:pBdr>
            <w:tabs>
              <w:tab w:val="left" w:pos="567"/>
            </w:tabs>
            <w:spacing w:after="0" w:line="240" w:lineRule="auto"/>
            <w:ind w:firstLine="360"/>
            <w:jc w:val="both"/>
            <w:rPr>
              <w:rFonts w:ascii="Times New Roman" w:eastAsia="Times New Roman" w:hAnsi="Times New Roman" w:cs="Times New Roman"/>
              <w:color w:val="000000"/>
            </w:rPr>
          </w:pPr>
          <w:r w:rsidRPr="00C478A7">
            <w:rPr>
              <w:rFonts w:ascii="Times New Roman" w:hAnsi="Times New Roman" w:cs="Times New Roman"/>
            </w:rPr>
            <w:t xml:space="preserve">The Industrial Revolution 4.0 is a change in the industrial system better known as industrial automation. Industrial automation has the effect of loss off many jobs, in addition to the emergence of many new types of jobs that emphasize 21st century skills. The 21st Century skills include critical thinking skills, creativity, collaboration, and communication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"uris" : [ "http://www.mendeley.com/documents/?uuid=23ff2e59-38a8-48ba-804f-27f6afa07ee4" ] } ], "mendeley" : { "formattedCitation" : "[11]", "plainTextFormattedCitation" : "[11]", "previouslyFormattedCitation" : "[11]"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[11]</w:t>
          </w:r>
          <w:r w:rsidRPr="00C478A7">
            <w:rPr>
              <w:rFonts w:ascii="Times New Roman" w:hAnsi="Times New Roman" w:cs="Times New Roman"/>
            </w:rPr>
            <w:fldChar w:fldCharType="end"/>
          </w:r>
          <w:r w:rsidRPr="00C478A7">
            <w:rPr>
              <w:rFonts w:ascii="Times New Roman" w:hAnsi="Times New Roman" w:cs="Times New Roman"/>
            </w:rPr>
            <w:t xml:space="preserve">. These four competencies will play an important role in facing the industrial revolution 4.0. Industry 4.0 as a phase of technological revolution that changes the mindset and way of one's activity in the scale, scope, complexity, and transformation from the previous phase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"10.1074/jbc.M003388200", "ISBN" : "0021-9258", "abstract" : "Technologies of the Fourth Industrial Revolution1 are blurring the lines between the physical, digital and biological spheres of global production systems. The current pace of technological development is exerting profound changes on the way people live and work. It is impacting all disciplines, economies and industries, perhaps none more so than production, including how, what, why and where individuals produce and deliver products and services. However, amid overcharged media headlines and political and social landscapes, business and government leaders find it difficult not only to have an accurate understanding of where these technologies can create real value, but also to successfully focus on the appropriate and timely investments and policies needed to unlock that value.", "author" : [ { "dropping-particle" : "", "family" : "Martin", "given" : "Cheryl", "non-dropping-particle" : "", "parse-names" : false, "suffix" : "" }, { "dropping-particle" : "", "family" : "Leurent", "given" : "Helena", "non-dropping-particle" : "", "parse-names" : false, "suffix" : "" } ], "container-title" : "World Economic Forum", "id" : "ITEM-1", "issue" : "March", "issued" : { "date-parts" : [ [ "2017" ] ] }, "page" : "1-38", "title" : "Technology and innovation for the future of production: Accelerating value creation", "type" : "article-journal" }, "uris" : [ "http://www.mendeley.com/documents/?uuid=f0edced3-0f19-470c-9ad9-dfc38eb13155" ] } ], "mendeley" : { "formattedCitation" : "[18]", "plainTextFormattedCitation" : "[18]", "previouslyFormattedCitation" : "[18]"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[18]</w:t>
          </w:r>
          <w:r w:rsidRPr="00C478A7">
            <w:rPr>
              <w:rFonts w:ascii="Times New Roman" w:hAnsi="Times New Roman" w:cs="Times New Roman"/>
            </w:rPr>
            <w:fldChar w:fldCharType="end"/>
          </w:r>
          <w:r w:rsidRPr="00C478A7">
            <w:rPr>
              <w:rFonts w:ascii="Times New Roman" w:hAnsi="Times New Roman" w:cs="Times New Roman"/>
            </w:rPr>
            <w:t>. All layers must be able to quickly respond to the industrial revolution 4.0. Such responses involve all global political stakeholders, ranging from the public sector, private sector, academia, to civil society. Especially in the field of vocational education, the challenge of the industrial revolution 4.0 is an opportunity to improve the quality of vocational education to be more optimal</w:t>
          </w:r>
          <w:r w:rsidR="00B42C7C">
            <w:rPr>
              <w:rFonts w:ascii="Times New Roman" w:eastAsia="Times New Roman" w:hAnsi="Times New Roman" w:cs="Times New Roman"/>
              <w:color w:val="000000"/>
            </w:rPr>
            <w:t xml:space="preserve">. </w:t>
          </w:r>
        </w:p>
      </w:sdtContent>
    </w:sdt>
    <w:sdt>
      <w:sdtPr>
        <w:tag w:val="goog_rdk_13"/>
        <w:id w:val="-1467894602"/>
      </w:sdtPr>
      <w:sdtEndPr/>
      <w:sdtContent>
        <w:p w:rsidR="002F079E" w:rsidRDefault="00BA78D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p w:rsidR="002F079E" w:rsidRDefault="00BA78DA" w:rsidP="00C4211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sdt>
        <w:sdtPr>
          <w:tag w:val="goog_rdk_15"/>
          <w:id w:val="-629320624"/>
        </w:sdtPr>
        <w:sdtEndPr/>
        <w:sdtContent/>
      </w:sdt>
      <w:sdt>
        <w:sdtPr>
          <w:tag w:val="goog_rdk_45"/>
          <w:id w:val="-2077581232"/>
        </w:sdtPr>
        <w:sdtEndPr/>
        <w:sdtContent>
          <w:r w:rsidR="00C4211A">
            <w:rPr>
              <w:rFonts w:ascii="Times New Roman" w:eastAsia="Times New Roman" w:hAnsi="Times New Roman" w:cs="Times New Roman"/>
              <w:i/>
            </w:rPr>
            <w:t>3</w:t>
          </w:r>
          <w:r w:rsidR="00B42C7C">
            <w:rPr>
              <w:rFonts w:ascii="Times New Roman" w:eastAsia="Times New Roman" w:hAnsi="Times New Roman" w:cs="Times New Roman"/>
              <w:i/>
            </w:rPr>
            <w:t xml:space="preserve">.2. </w:t>
          </w:r>
          <w:r w:rsidR="00C4211A" w:rsidRPr="00C478A7">
            <w:rPr>
              <w:rFonts w:ascii="Times New Roman" w:hAnsi="Times New Roman" w:cs="Times New Roman"/>
              <w:i/>
            </w:rPr>
            <w:t>The 21</w:t>
          </w:r>
          <w:r w:rsidR="00C4211A" w:rsidRPr="00C478A7">
            <w:rPr>
              <w:rFonts w:ascii="Times New Roman" w:hAnsi="Times New Roman" w:cs="Times New Roman"/>
              <w:i/>
              <w:vertAlign w:val="superscript"/>
            </w:rPr>
            <w:t>st</w:t>
          </w:r>
          <w:r w:rsidR="00C4211A" w:rsidRPr="00C478A7">
            <w:rPr>
              <w:rFonts w:ascii="Times New Roman" w:hAnsi="Times New Roman" w:cs="Times New Roman"/>
              <w:i/>
            </w:rPr>
            <w:t xml:space="preserve"> Century Learning</w:t>
          </w:r>
        </w:sdtContent>
      </w:sdt>
    </w:p>
    <w:sdt>
      <w:sdtPr>
        <w:tag w:val="goog_rdk_46"/>
        <w:id w:val="-2058075886"/>
      </w:sdtPr>
      <w:sdtEndPr/>
      <w:sdtContent>
        <w:p w:rsidR="00C4211A" w:rsidRPr="00C478A7" w:rsidRDefault="00C4211A" w:rsidP="00C4211A">
          <w:pPr>
            <w:pStyle w:val="ListParagraph"/>
            <w:autoSpaceDE w:val="0"/>
            <w:autoSpaceDN w:val="0"/>
            <w:adjustRightInd w:val="0"/>
            <w:spacing w:after="0" w:line="240" w:lineRule="auto"/>
            <w:ind w:left="0"/>
            <w:jc w:val="both"/>
            <w:rPr>
              <w:rFonts w:ascii="Times New Roman" w:hAnsi="Times New Roman" w:cs="Times New Roman"/>
              <w:lang w:eastAsia="id-ID"/>
            </w:rPr>
          </w:pPr>
          <w:r w:rsidRPr="00C478A7">
            <w:rPr>
              <w:rFonts w:ascii="Times New Roman" w:hAnsi="Times New Roman" w:cs="Times New Roman"/>
              <w:lang w:eastAsia="id-ID"/>
            </w:rPr>
            <w:t xml:space="preserve">The 21st century is known to everyone as the age of knowledge which is the main foundation for various aspects of life. The 21st century learning paradigm emphasizes the ability of students to think critically, be able to connect science with the real world, master information technology, communicate and collaborate </w:t>
          </w:r>
          <w:r w:rsidRPr="00C478A7">
            <w:rPr>
              <w:rFonts w:ascii="Times New Roman" w:hAnsi="Times New Roman" w:cs="Times New Roman"/>
              <w:lang w:eastAsia="id-ID"/>
            </w:rPr>
            <w:fldChar w:fldCharType="begin" w:fldLock="1"/>
          </w:r>
          <w:r w:rsidRPr="00C478A7">
            <w:rPr>
              <w:rFonts w:ascii="Times New Roman" w:hAnsi="Times New Roman" w:cs="Times New Roman"/>
              <w:lang w:eastAsia="id-ID"/>
            </w:rPr>
            <w:instrText>ADDIN CSL_CITATION { "citationItems" : [ { "id" : "ITEM-1", "itemData" : { "author" : [ { "dropping-particle" : "", "family" : "Bialik", "given" : "Maya", "non-dropping-particle" : "", "parse-names" : false, "suffix" : "" }, { "dropping-particle" : "", "family" : "Fadel", "given" : "Charles", "non-dropping-particle" : "", "parse-names" : false, "suffix" : "" }, { "dropping-particle" : "", "family" : "Trilling", "given" : "Bernie", "non-dropping-particle" : "", "parse-names" : false, "suffix" : "" }, { "dropping-particle" : "", "family" : "Nilsson", "given" : "Peter", "non-dropping-particle" : "", "parse-names" : false, "suffix" : "" }, { "dropping-particle" : "", "family" : "Groff", "given" : "Jennifer", "non-dropping-particle" : "", "parse-names" : false, "suffix" : "" } ], "id" : "ITEM-1", "issue" : "May", "issued" : { "date-parts" : [ [ "2015" ] ] }, "title" : "Skills for the 21 st Century: What Should Students Learn? Center for Curriculum Redesign", "type" : "article-journal" }, "uris" : [ "http://www.mendeley.com/documents/?uuid=f04e21bd-4101-4494-8e19-3409a19889fd" ] } ], "mendeley" : { "formattedCitation" : "[19]", "plainTextFormattedCitation" : "[19]", "previouslyFormattedCitation" : "[19]" }, "properties" : { "noteIndex" : 0 }, "schema" : "https://github.com/citation-style-language/schema/raw/master/csl-citation.json" }</w:instrText>
          </w:r>
          <w:r w:rsidRPr="00C478A7">
            <w:rPr>
              <w:rFonts w:ascii="Times New Roman" w:hAnsi="Times New Roman" w:cs="Times New Roman"/>
              <w:lang w:eastAsia="id-ID"/>
            </w:rPr>
            <w:fldChar w:fldCharType="separate"/>
          </w:r>
          <w:r w:rsidRPr="00C478A7">
            <w:rPr>
              <w:rFonts w:ascii="Times New Roman" w:hAnsi="Times New Roman" w:cs="Times New Roman"/>
              <w:noProof/>
              <w:lang w:eastAsia="id-ID"/>
            </w:rPr>
            <w:t>[19]</w:t>
          </w:r>
          <w:r w:rsidRPr="00C478A7">
            <w:rPr>
              <w:rFonts w:ascii="Times New Roman" w:hAnsi="Times New Roman" w:cs="Times New Roman"/>
              <w:lang w:eastAsia="id-ID"/>
            </w:rPr>
            <w:fldChar w:fldCharType="end"/>
          </w:r>
          <w:r w:rsidRPr="00C478A7">
            <w:rPr>
              <w:rFonts w:ascii="Times New Roman" w:hAnsi="Times New Roman" w:cs="Times New Roman"/>
              <w:lang w:eastAsia="id-ID"/>
            </w:rPr>
            <w:t>. These skills can be achieved by applying appropriate learning methods in terms of mastery of the material and skills.</w:t>
          </w:r>
        </w:p>
        <w:p w:rsidR="00C4211A" w:rsidRPr="00C478A7" w:rsidRDefault="00C4211A" w:rsidP="00C4211A">
          <w:pPr>
            <w:pStyle w:val="ListParagraph"/>
            <w:autoSpaceDE w:val="0"/>
            <w:autoSpaceDN w:val="0"/>
            <w:adjustRightInd w:val="0"/>
            <w:spacing w:after="0" w:line="240" w:lineRule="auto"/>
            <w:ind w:left="0" w:firstLine="270"/>
            <w:jc w:val="both"/>
            <w:rPr>
              <w:rFonts w:ascii="Times New Roman" w:hAnsi="Times New Roman" w:cs="Times New Roman"/>
              <w:shd w:val="clear" w:color="auto" w:fill="FFFFFF"/>
            </w:rPr>
          </w:pPr>
          <w:r w:rsidRPr="00C478A7">
            <w:rPr>
              <w:rFonts w:ascii="Times New Roman" w:hAnsi="Times New Roman" w:cs="Times New Roman"/>
              <w:lang w:eastAsia="id-ID"/>
            </w:rPr>
            <w:t>The development of the media of information technology has become one of the basic foundations in the development of 21st century learning. Media of information technology seem to be a mandatory factor to be used in everyday life. 21st Century learning requires a thorough transformation of education to build the quality of teachers who are able to advance knowledge, training, student equity and student achievement</w:t>
          </w:r>
          <w:r w:rsidRPr="00C478A7">
            <w:rPr>
              <w:rFonts w:ascii="Times New Roman" w:hAnsi="Times New Roman" w:cs="Times New Roman"/>
              <w:shd w:val="clear" w:color="auto" w:fill="FFFFFF"/>
            </w:rPr>
            <w:t xml:space="preserve"> </w:t>
          </w:r>
          <w:r w:rsidRPr="00C478A7">
            <w:rPr>
              <w:rFonts w:ascii="Times New Roman" w:hAnsi="Times New Roman" w:cs="Times New Roman"/>
              <w:shd w:val="clear" w:color="auto" w:fill="FFFFFF"/>
            </w:rPr>
            <w:fldChar w:fldCharType="begin" w:fldLock="1"/>
          </w:r>
          <w:r w:rsidRPr="00C478A7">
            <w:rPr>
              <w:rFonts w:ascii="Times New Roman" w:hAnsi="Times New Roman" w:cs="Times New Roman"/>
              <w:shd w:val="clear" w:color="auto" w:fill="FFFFFF"/>
            </w:rPr>
            <w:instrText>ADDIN CSL_CITATION { "citationItems" : [ { "id" : "ITEM-1", "itemData" : { "DOI" : "10.1177/0022487105285962", "ISSN" : "00224871", "abstract" : "Much of what teachers need to know to be successful is invisible to lay observers, leading to the view that teaching requires little formal study and to frequent disdain for teacher education programs. The weakness of traditional program models that are collections of largely unrelated courses reinforce this low regard. This article argues that we have learned a great deal about how to create stronger, more effective teacher education programs. Three critical components of such programs include tight coherence and integration among courses and between course work and clinical work in schools, extensive and intensely supervised clinical work integrated with course work using pedagogies that link theory and practice, and closer, proactive relationships with schools that serve diverse learners effectively and develop and model good teaching. The article also urges that schools of education should resist pressures to water down preparation, which ultimately undermine the preparation of entering teachers, the reputation of schools of education, and the strength of the profession.", "author" : [ { "dropping-particle" : "", "family" : "Darling-Hammond", "given" : "Linda", "non-dropping-particle" : "", "parse-names" : false, "suffix" : "" } ], "container-title" : "Journal of Teacher Education", "id" : "ITEM-1", "issue" : "3", "issued" : { "date-parts" : [ [ "2006" ] ] }, "page" : "300-314", "title" : "Constructing 21st-century teacher education", "type" : "article-journal", "volume" : "57" }, "uris" : [ "http://www.mendeley.com/documents/?uuid=91ae8594-cd7d-4036-8c12-487bdd5d289e" ] } ], "mendeley" : { "formattedCitation" : "[20]", "plainTextFormattedCitation" : "[20]", "previouslyFormattedCitation" : "[20]" }, "properties" : { "noteIndex" : 0 }, "schema" : "https://github.com/citation-style-language/schema/raw/master/csl-citation.json" }</w:instrText>
          </w:r>
          <w:r w:rsidRPr="00C478A7">
            <w:rPr>
              <w:rFonts w:ascii="Times New Roman" w:hAnsi="Times New Roman" w:cs="Times New Roman"/>
              <w:shd w:val="clear" w:color="auto" w:fill="FFFFFF"/>
            </w:rPr>
            <w:fldChar w:fldCharType="separate"/>
          </w:r>
          <w:r w:rsidRPr="00C478A7">
            <w:rPr>
              <w:rFonts w:ascii="Times New Roman" w:hAnsi="Times New Roman" w:cs="Times New Roman"/>
              <w:noProof/>
              <w:shd w:val="clear" w:color="auto" w:fill="FFFFFF"/>
            </w:rPr>
            <w:t>[20]</w:t>
          </w:r>
          <w:r w:rsidRPr="00C478A7">
            <w:rPr>
              <w:rFonts w:ascii="Times New Roman" w:hAnsi="Times New Roman" w:cs="Times New Roman"/>
              <w:shd w:val="clear" w:color="auto" w:fill="FFFFFF"/>
            </w:rPr>
            <w:fldChar w:fldCharType="end"/>
          </w:r>
          <w:r w:rsidRPr="00C478A7">
            <w:rPr>
              <w:rFonts w:ascii="Times New Roman" w:hAnsi="Times New Roman" w:cs="Times New Roman"/>
              <w:shd w:val="clear" w:color="auto" w:fill="FFFFFF"/>
            </w:rPr>
            <w:t>.</w:t>
          </w:r>
        </w:p>
        <w:p w:rsidR="00C4211A" w:rsidRPr="00C478A7" w:rsidRDefault="00C4211A" w:rsidP="00C4211A">
          <w:pPr>
            <w:pStyle w:val="ListParagraph"/>
            <w:autoSpaceDE w:val="0"/>
            <w:autoSpaceDN w:val="0"/>
            <w:adjustRightInd w:val="0"/>
            <w:spacing w:after="0" w:line="240" w:lineRule="auto"/>
            <w:ind w:left="0" w:firstLine="270"/>
            <w:jc w:val="both"/>
            <w:rPr>
              <w:rFonts w:ascii="Times New Roman" w:hAnsi="Times New Roman" w:cs="Times New Roman"/>
              <w:lang w:val="id-ID"/>
            </w:rPr>
          </w:pPr>
          <w:r w:rsidRPr="00C478A7">
            <w:rPr>
              <w:rFonts w:ascii="Times New Roman" w:hAnsi="Times New Roman" w:cs="Times New Roman"/>
            </w:rPr>
            <w:t xml:space="preserve">21st century learning focuses on the formation of digital-based learning, the ability to learn and to innovate, and the development of life skills. More specifically, learning conducted by teachers must be oriented to the development of four core skills: critical thinking and problem solving skills, communication skills, collaborative skills, and the ability to create new things (creativity)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"Singh", "given" : "Raja Roy", "non-dropping-particle" : "", "parse-names" : false, "suffix" : "" } ], "id" : "ITEM-1", "issue" : "c", "issued" : { "date-parts" : [ [ "1991" ] ] }, "number-of-pages" : "2-6", "publisher" : "Prakanong Post Office", "publisher-place" : "Bangkok", "title" : "Education for Twenty-First Century: Asia-Pacific Perspectives", "type" : "book" }, "uris" : [ "http://www.mendeley.com/documents/?uuid=ccab489d-d207-4813-b1d1-a72432e4dd1e" ] } ], "mendeley" : { "formattedCitation" : "[21]", "plainTextFormattedCitation" : "[21]", "previouslyFormattedCitation" : "[21]"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[21]</w:t>
          </w:r>
          <w:r w:rsidRPr="00C478A7">
            <w:rPr>
              <w:rFonts w:ascii="Times New Roman" w:hAnsi="Times New Roman" w:cs="Times New Roman"/>
            </w:rPr>
            <w:fldChar w:fldCharType="end"/>
          </w:r>
          <w:r w:rsidRPr="00C478A7">
            <w:rPr>
              <w:rFonts w:ascii="Times New Roman" w:hAnsi="Times New Roman" w:cs="Times New Roman"/>
              <w:lang w:val="id-ID"/>
            </w:rPr>
            <w:t>.</w:t>
          </w:r>
        </w:p>
        <w:p w:rsidR="002F079E" w:rsidRDefault="00C4211A" w:rsidP="00C4211A">
          <w:pPr>
            <w:pBdr>
              <w:top w:val="nil"/>
              <w:left w:val="nil"/>
              <w:bottom w:val="nil"/>
              <w:right w:val="nil"/>
              <w:between w:val="nil"/>
            </w:pBdr>
            <w:tabs>
              <w:tab w:val="left" w:pos="567"/>
            </w:tabs>
            <w:spacing w:after="0" w:line="240" w:lineRule="auto"/>
            <w:ind w:firstLine="270"/>
            <w:jc w:val="both"/>
            <w:rPr>
              <w:rFonts w:ascii="Times New Roman" w:eastAsia="Times New Roman" w:hAnsi="Times New Roman" w:cs="Times New Roman"/>
              <w:color w:val="000000"/>
            </w:rPr>
          </w:pPr>
          <w:r w:rsidRPr="00C478A7">
            <w:rPr>
              <w:rFonts w:ascii="Times New Roman" w:hAnsi="Times New Roman" w:cs="Times New Roman"/>
            </w:rPr>
            <w:t xml:space="preserve">Integrating ICT in the learning process requires planning on the application of ICT as a transformation in learning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"ISBN" : "9789231002854", "ISSN" : "9230010537", "abstract" : "The UNESCO ICT Competency Framework for Teachers (ICT-CFT) is intended to inform educational policy makers, providers of professional learning and working teachers on the role of ICT in educational reform, as well as to assist Member States in developing national ICT competency standards for teachers with an ICT in Education Master Plan approach. Details on the Framework can be found at UNESCO ICT in Education. ICT-CFT Aligned Resource The Framework is arranged in three different approaches to teaching. Technology Literacy, enabling students to use ICT in order to learn more efficiently. Knowledge Deepening, enabling students to acquire in-depth knowledge of their school subjects and apply it to complex, real-world problems. Knowledge Creation, enabling students, citizens and the workforce they become, to create the new knowledge required for more harmonious, fulfilling and prosperous societies. Technology Literacy Knowledge Deepening Knowledge Creation Understanding ICT in Education Policy Awareness 21 Resources Policy Understanding 20 Resources Policy Innovation 9 Resources Curriculum and Assesment Basic Knowledge 19 Resources Knowledge Application 24 Resources Knowledge Society Skills 18 Resources Pedagogy Integrate Technology 25 Resources Complex Problem Solving 32 Resources Self Management 15 Resources ICT Basic Tools 34 Resources Complex Tools 30 Resources Pervasive Tools 12 Resources Organization and Administration Standard Classroom 16 Resources Collaborative Groups 16 Resources Learning Organizations 8 Resources Teacher Professional Learning Digital Literacy 21 Resources Manage and Guide 17 Resources Teacher as Model Learner 11 Resources ICT-CFT Adopters These countries are adopting the UNESCO ICT Competency Framework for Teachers. They are using groups to organize, collaborate, and share ICT-CTF aligned resources. Kenyan ICT CFT Course Guyana ICT in Education for Teachers Course Rwanda ICT Essentials for Teachers Course TIC pour l'universit\u00e9 de Djibouti The Phillippines ICT Competency Resources Indonesia Rumah Belajar Untuk Semua Formation \u00e0 Distance des Enseignants du Togo Matthew Goniwe School of Leadership &amp; Governance Zimbabwe ICT Essentials for Teachers ICT CFT Morocco Commonwealth of Learning Certificate for Teacher ICT Integration University of Cambridge OER4Schools ICT-CFT Toolkit and OER Creation tools ICT in Education - Teachers' Professional Development Toolkit ICT in Education - Teachers' Professional Development Toolkit This toolk\u2026", "author" : [ { "dropping-particle" : "", "family" : "Unesco", "given" : "", "non-dropping-particle" : "", "parse-names" : false, "suffix" : "" } ], "container-title" : "OER Commons UNESCO", "id" : "ITEM-1", "issued" : { "date-parts" : [ [ "2018" ] ] }, "title" : "UNESCO ICT Competency Framework for Teachers | OER Commons", "type" : "book" }, "uris" : [ "http://www.mendeley.com/documents/?uuid=f2c7ebaa-b807-455d-8fec-4b0f3e39d118" ] } ], "mendeley" : { "formattedCitation" : "[22]", "plainTextFormattedCitation" : "[22]", "previouslyFormattedCitation" : "[22]"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[22]</w:t>
          </w:r>
          <w:r w:rsidRPr="00C478A7">
            <w:rPr>
              <w:rFonts w:ascii="Times New Roman" w:hAnsi="Times New Roman" w:cs="Times New Roman"/>
            </w:rPr>
            <w:fldChar w:fldCharType="end"/>
          </w:r>
          <w:r w:rsidRPr="00C478A7">
            <w:rPr>
              <w:rFonts w:ascii="Times New Roman" w:hAnsi="Times New Roman" w:cs="Times New Roman"/>
            </w:rPr>
            <w:t>. Education system needs to renew and reform teacher preparation and professional development gradually, and ensure that all teachers can utilize technology in the process of learning. The development of an ICT competency framework for teachers (ICT-CFT) as an effort to help develop and improve teacher ICT competency standards comprehensively developed by UNESCO is as follows:</w:t>
          </w:r>
        </w:p>
      </w:sdtContent>
    </w:sdt>
    <w:tbl>
      <w:tblPr>
        <w:tblStyle w:val="a1"/>
        <w:tblW w:w="8621" w:type="dxa"/>
        <w:jc w:val="center"/>
        <w:tblLayout w:type="fixed"/>
        <w:tblLook w:val="0000" w:firstRow="0" w:lastRow="0" w:firstColumn="0" w:lastColumn="0" w:noHBand="0" w:noVBand="0"/>
      </w:tblPr>
      <w:tblGrid>
        <w:gridCol w:w="8621"/>
      </w:tblGrid>
      <w:tr w:rsidR="002F079E" w:rsidTr="00C4211A">
        <w:trPr>
          <w:jc w:val="center"/>
        </w:trPr>
        <w:tc>
          <w:tcPr>
            <w:tcW w:w="8621" w:type="dxa"/>
            <w:shd w:val="clear" w:color="auto" w:fill="auto"/>
          </w:tcPr>
          <w:p w:rsidR="002F079E" w:rsidRDefault="00C4211A" w:rsidP="00B42C7C">
            <w:pPr>
              <w:pBdr>
                <w:top w:val="nil"/>
                <w:left w:val="nil"/>
                <w:bottom w:val="nil"/>
                <w:right w:val="nil"/>
                <w:between w:val="nil"/>
              </w:pBdr>
              <w:spacing w:after="120" w:line="240" w:lineRule="auto"/>
              <w:jc w:val="center"/>
              <w:rPr>
                <w:rFonts w:ascii="Times New Roman" w:eastAsia="Times New Roman" w:hAnsi="Times New Roman" w:cs="Times New Roman"/>
                <w:b/>
                <w:color w:val="000000"/>
              </w:rPr>
            </w:pPr>
            <w:r>
              <w:br w:type="page"/>
            </w:r>
            <w:sdt>
              <w:sdtPr>
                <w:tag w:val="goog_rdk_47"/>
                <w:id w:val="-1635325628"/>
              </w:sdtPr>
              <w:sdtEndPr/>
              <w:sdtContent>
                <w:r w:rsidR="00B42C7C">
                  <w:rPr>
                    <w:rFonts w:ascii="Times New Roman" w:eastAsia="Times New Roman" w:hAnsi="Times New Roman" w:cs="Times New Roman"/>
                    <w:b/>
                    <w:color w:val="000000"/>
                  </w:rPr>
                  <w:t>Table 1.</w:t>
                </w:r>
                <w:r w:rsidR="00B42C7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21</w:t>
                </w:r>
                <w:r w:rsidRPr="00C4211A">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Century Skills Framework for Teachers</w:t>
                </w:r>
                <w:r w:rsidR="00B42C7C">
                  <w:rPr>
                    <w:rFonts w:ascii="Times New Roman" w:eastAsia="Times New Roman" w:hAnsi="Times New Roman" w:cs="Times New Roman"/>
                    <w:color w:val="000000"/>
                  </w:rPr>
                  <w:t>.</w:t>
                </w:r>
              </w:sdtContent>
            </w:sdt>
          </w:p>
        </w:tc>
      </w:tr>
    </w:tbl>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4211A" w:rsidRPr="00C478A7" w:rsidTr="00B42C7C">
        <w:trPr>
          <w:tblHeader/>
        </w:trPr>
        <w:tc>
          <w:tcPr>
            <w:tcW w:w="2337" w:type="dxa"/>
            <w:tcBorders>
              <w:top w:val="single" w:sz="4" w:space="0" w:color="auto"/>
              <w:bottom w:val="single" w:sz="4" w:space="0" w:color="auto"/>
            </w:tcBorders>
          </w:tcPr>
          <w:p w:rsidR="00C4211A" w:rsidRPr="00C478A7" w:rsidRDefault="00C4211A" w:rsidP="00045980">
            <w:pPr>
              <w:pStyle w:val="ListParagraph"/>
              <w:autoSpaceDE w:val="0"/>
              <w:autoSpaceDN w:val="0"/>
              <w:adjustRightInd w:val="0"/>
              <w:ind w:left="0"/>
              <w:jc w:val="center"/>
              <w:rPr>
                <w:rFonts w:ascii="Times New Roman" w:hAnsi="Times New Roman" w:cs="Times New Roman"/>
                <w:b/>
                <w:bCs/>
              </w:rPr>
            </w:pPr>
          </w:p>
        </w:tc>
        <w:tc>
          <w:tcPr>
            <w:tcW w:w="2337" w:type="dxa"/>
            <w:tcBorders>
              <w:top w:val="single" w:sz="4" w:space="0" w:color="auto"/>
              <w:bottom w:val="single" w:sz="4" w:space="0" w:color="auto"/>
            </w:tcBorders>
          </w:tcPr>
          <w:p w:rsidR="00C4211A" w:rsidRPr="00C478A7" w:rsidRDefault="00C4211A" w:rsidP="00045980">
            <w:pPr>
              <w:pStyle w:val="ListParagraph"/>
              <w:autoSpaceDE w:val="0"/>
              <w:autoSpaceDN w:val="0"/>
              <w:adjustRightInd w:val="0"/>
              <w:ind w:left="0"/>
              <w:jc w:val="center"/>
              <w:rPr>
                <w:rFonts w:ascii="Times New Roman" w:hAnsi="Times New Roman" w:cs="Times New Roman"/>
                <w:b/>
                <w:bCs/>
              </w:rPr>
            </w:pPr>
            <w:r w:rsidRPr="00C478A7">
              <w:rPr>
                <w:rFonts w:ascii="Times New Roman" w:hAnsi="Times New Roman" w:cs="Times New Roman"/>
                <w:b/>
                <w:bCs/>
              </w:rPr>
              <w:t>Technology Literacy</w:t>
            </w:r>
          </w:p>
        </w:tc>
        <w:tc>
          <w:tcPr>
            <w:tcW w:w="2338" w:type="dxa"/>
            <w:tcBorders>
              <w:top w:val="single" w:sz="4" w:space="0" w:color="auto"/>
              <w:bottom w:val="single" w:sz="4" w:space="0" w:color="auto"/>
            </w:tcBorders>
          </w:tcPr>
          <w:p w:rsidR="00C4211A" w:rsidRPr="00C478A7" w:rsidRDefault="00C4211A" w:rsidP="00045980">
            <w:pPr>
              <w:pStyle w:val="ListParagraph"/>
              <w:autoSpaceDE w:val="0"/>
              <w:autoSpaceDN w:val="0"/>
              <w:adjustRightInd w:val="0"/>
              <w:ind w:left="0"/>
              <w:jc w:val="center"/>
              <w:rPr>
                <w:rFonts w:ascii="Times New Roman" w:hAnsi="Times New Roman" w:cs="Times New Roman"/>
                <w:b/>
                <w:bCs/>
              </w:rPr>
            </w:pPr>
            <w:r w:rsidRPr="00C478A7">
              <w:rPr>
                <w:rFonts w:ascii="Times New Roman" w:hAnsi="Times New Roman" w:cs="Times New Roman"/>
                <w:b/>
                <w:bCs/>
              </w:rPr>
              <w:t>Knowledge Deepening</w:t>
            </w:r>
          </w:p>
        </w:tc>
        <w:tc>
          <w:tcPr>
            <w:tcW w:w="2338" w:type="dxa"/>
            <w:tcBorders>
              <w:top w:val="single" w:sz="4" w:space="0" w:color="auto"/>
              <w:bottom w:val="single" w:sz="4" w:space="0" w:color="auto"/>
            </w:tcBorders>
          </w:tcPr>
          <w:p w:rsidR="00C4211A" w:rsidRPr="00C478A7" w:rsidRDefault="00C4211A" w:rsidP="00045980">
            <w:pPr>
              <w:pStyle w:val="ListParagraph"/>
              <w:autoSpaceDE w:val="0"/>
              <w:autoSpaceDN w:val="0"/>
              <w:adjustRightInd w:val="0"/>
              <w:ind w:left="0"/>
              <w:jc w:val="center"/>
              <w:rPr>
                <w:rFonts w:ascii="Times New Roman" w:hAnsi="Times New Roman" w:cs="Times New Roman"/>
                <w:b/>
                <w:bCs/>
              </w:rPr>
            </w:pPr>
            <w:r w:rsidRPr="00C478A7">
              <w:rPr>
                <w:rFonts w:ascii="Times New Roman" w:hAnsi="Times New Roman" w:cs="Times New Roman"/>
                <w:b/>
                <w:bCs/>
              </w:rPr>
              <w:t>Knowledge Creation</w:t>
            </w:r>
          </w:p>
        </w:tc>
      </w:tr>
      <w:tr w:rsidR="00C4211A" w:rsidRPr="00C478A7" w:rsidTr="00C4211A">
        <w:tc>
          <w:tcPr>
            <w:tcW w:w="2337" w:type="dxa"/>
            <w:tcBorders>
              <w:top w:val="single" w:sz="4" w:space="0" w:color="auto"/>
            </w:tcBorders>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t>Understanding ICT in Education</w:t>
            </w:r>
          </w:p>
        </w:tc>
        <w:tc>
          <w:tcPr>
            <w:tcW w:w="2337"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Policy awareness</w:t>
            </w:r>
          </w:p>
        </w:tc>
        <w:tc>
          <w:tcPr>
            <w:tcW w:w="2338"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Policy understanding</w:t>
            </w:r>
          </w:p>
        </w:tc>
        <w:tc>
          <w:tcPr>
            <w:tcW w:w="2338"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Policy innovation</w:t>
            </w:r>
          </w:p>
        </w:tc>
      </w:tr>
      <w:tr w:rsidR="00C4211A" w:rsidRPr="00C478A7" w:rsidTr="00B42C7C">
        <w:tc>
          <w:tcPr>
            <w:tcW w:w="2337" w:type="dxa"/>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t>Curriculum and Assessment</w:t>
            </w:r>
          </w:p>
        </w:tc>
        <w:tc>
          <w:tcPr>
            <w:tcW w:w="2337"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Basic knowledge</w:t>
            </w:r>
          </w:p>
        </w:tc>
        <w:tc>
          <w:tcPr>
            <w:tcW w:w="2338"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Knowledge application</w:t>
            </w:r>
          </w:p>
        </w:tc>
        <w:tc>
          <w:tcPr>
            <w:tcW w:w="2338"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Knowledge society skills</w:t>
            </w:r>
          </w:p>
        </w:tc>
      </w:tr>
      <w:tr w:rsidR="00C4211A" w:rsidRPr="00C478A7" w:rsidTr="00B42C7C">
        <w:tc>
          <w:tcPr>
            <w:tcW w:w="2337" w:type="dxa"/>
            <w:tcBorders>
              <w:bottom w:val="single" w:sz="4" w:space="0" w:color="auto"/>
            </w:tcBorders>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t>Pedagogy</w:t>
            </w:r>
          </w:p>
        </w:tc>
        <w:tc>
          <w:tcPr>
            <w:tcW w:w="2337"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Integrate technology</w:t>
            </w:r>
          </w:p>
        </w:tc>
        <w:tc>
          <w:tcPr>
            <w:tcW w:w="2338"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Complex problem solving</w:t>
            </w:r>
          </w:p>
        </w:tc>
        <w:tc>
          <w:tcPr>
            <w:tcW w:w="2338"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Self-management</w:t>
            </w:r>
          </w:p>
        </w:tc>
      </w:tr>
      <w:tr w:rsidR="00C4211A" w:rsidRPr="00C478A7" w:rsidTr="00B42C7C">
        <w:tc>
          <w:tcPr>
            <w:tcW w:w="2337" w:type="dxa"/>
            <w:tcBorders>
              <w:top w:val="single" w:sz="4" w:space="0" w:color="auto"/>
            </w:tcBorders>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lastRenderedPageBreak/>
              <w:t>ICT</w:t>
            </w:r>
          </w:p>
        </w:tc>
        <w:tc>
          <w:tcPr>
            <w:tcW w:w="2337"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Basic tools</w:t>
            </w:r>
          </w:p>
        </w:tc>
        <w:tc>
          <w:tcPr>
            <w:tcW w:w="2338"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Complex tools</w:t>
            </w:r>
          </w:p>
        </w:tc>
        <w:tc>
          <w:tcPr>
            <w:tcW w:w="2338" w:type="dxa"/>
            <w:tcBorders>
              <w:top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Pervasive tolls</w:t>
            </w:r>
          </w:p>
        </w:tc>
      </w:tr>
      <w:tr w:rsidR="00C4211A" w:rsidRPr="00C478A7" w:rsidTr="00C4211A">
        <w:tc>
          <w:tcPr>
            <w:tcW w:w="2337" w:type="dxa"/>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t>Organization and Administration</w:t>
            </w:r>
          </w:p>
        </w:tc>
        <w:tc>
          <w:tcPr>
            <w:tcW w:w="2337"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Standard classroom</w:t>
            </w:r>
          </w:p>
        </w:tc>
        <w:tc>
          <w:tcPr>
            <w:tcW w:w="2338"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Collaborative groups</w:t>
            </w:r>
          </w:p>
        </w:tc>
        <w:tc>
          <w:tcPr>
            <w:tcW w:w="2338" w:type="dxa"/>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Learning organization</w:t>
            </w:r>
          </w:p>
        </w:tc>
      </w:tr>
      <w:tr w:rsidR="00C4211A" w:rsidRPr="00C478A7" w:rsidTr="00C4211A">
        <w:tc>
          <w:tcPr>
            <w:tcW w:w="2337" w:type="dxa"/>
            <w:tcBorders>
              <w:bottom w:val="single" w:sz="4" w:space="0" w:color="auto"/>
            </w:tcBorders>
          </w:tcPr>
          <w:p w:rsidR="00C4211A" w:rsidRPr="00C478A7" w:rsidRDefault="00C4211A" w:rsidP="00045980">
            <w:pPr>
              <w:pStyle w:val="ListParagraph"/>
              <w:autoSpaceDE w:val="0"/>
              <w:autoSpaceDN w:val="0"/>
              <w:adjustRightInd w:val="0"/>
              <w:ind w:left="0"/>
              <w:jc w:val="right"/>
              <w:rPr>
                <w:rFonts w:ascii="Times New Roman" w:hAnsi="Times New Roman" w:cs="Times New Roman"/>
                <w:b/>
                <w:bCs/>
              </w:rPr>
            </w:pPr>
            <w:r w:rsidRPr="00C478A7">
              <w:rPr>
                <w:rFonts w:ascii="Times New Roman" w:hAnsi="Times New Roman" w:cs="Times New Roman"/>
                <w:b/>
                <w:bCs/>
              </w:rPr>
              <w:t>Teacher Professional Learning</w:t>
            </w:r>
          </w:p>
        </w:tc>
        <w:tc>
          <w:tcPr>
            <w:tcW w:w="2337"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Digital literacy</w:t>
            </w:r>
          </w:p>
        </w:tc>
        <w:tc>
          <w:tcPr>
            <w:tcW w:w="2338"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Manage and guide</w:t>
            </w:r>
          </w:p>
        </w:tc>
        <w:tc>
          <w:tcPr>
            <w:tcW w:w="2338" w:type="dxa"/>
            <w:tcBorders>
              <w:bottom w:val="single" w:sz="4" w:space="0" w:color="auto"/>
            </w:tcBorders>
          </w:tcPr>
          <w:p w:rsidR="00C4211A" w:rsidRPr="00C478A7" w:rsidRDefault="00C4211A" w:rsidP="00045980">
            <w:pPr>
              <w:pStyle w:val="ListParagraph"/>
              <w:autoSpaceDE w:val="0"/>
              <w:autoSpaceDN w:val="0"/>
              <w:adjustRightInd w:val="0"/>
              <w:ind w:left="0"/>
              <w:rPr>
                <w:rFonts w:ascii="Times New Roman" w:hAnsi="Times New Roman" w:cs="Times New Roman"/>
                <w:bCs/>
              </w:rPr>
            </w:pPr>
            <w:r w:rsidRPr="00C478A7">
              <w:rPr>
                <w:rFonts w:ascii="Times New Roman" w:hAnsi="Times New Roman" w:cs="Times New Roman"/>
                <w:bCs/>
              </w:rPr>
              <w:t>Teachers as model learner</w:t>
            </w:r>
          </w:p>
        </w:tc>
      </w:tr>
    </w:tbl>
    <w:sdt>
      <w:sdtPr>
        <w:tag w:val="goog_rdk_70"/>
        <w:id w:val="-496801313"/>
      </w:sdtPr>
      <w:sdtEndPr/>
      <w:sdtContent>
        <w:p w:rsidR="00C4211A" w:rsidRDefault="00C4211A">
          <w:pPr>
            <w:spacing w:after="0"/>
            <w:jc w:val="both"/>
          </w:pPr>
        </w:p>
        <w:p w:rsidR="00C4211A" w:rsidRPr="00C478A7" w:rsidRDefault="00C4211A" w:rsidP="00C4211A">
          <w:pPr>
            <w:pStyle w:val="ListParagraph"/>
            <w:autoSpaceDE w:val="0"/>
            <w:autoSpaceDN w:val="0"/>
            <w:adjustRightInd w:val="0"/>
            <w:spacing w:after="0" w:line="240" w:lineRule="auto"/>
            <w:ind w:left="0" w:firstLine="270"/>
            <w:jc w:val="both"/>
            <w:rPr>
              <w:rFonts w:ascii="Times New Roman" w:hAnsi="Times New Roman" w:cs="Times New Roman"/>
            </w:rPr>
          </w:pPr>
          <w:r w:rsidRPr="00C478A7">
            <w:rPr>
              <w:rFonts w:ascii="Times New Roman" w:hAnsi="Times New Roman" w:cs="Times New Roman"/>
            </w:rPr>
            <w:t xml:space="preserve">The framework listed in table 1 is arranged in three different approaches to teaching. Technology Literacy allows students to use ICT for learning more efficiently. Knowledge Deepening enables students to gain in-depth knowledge of their school subjects and apply them to complex real-world problems. Knowledge Creation allows students to create new knowledge needed as a solution in dealing with problems that occur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"ISBN" : "9789231002854", "ISSN" : "9230010537", "abstract" : "The UNESCO ICT Competency Framework for Teachers (ICT-CFT) is intended to inform educational policy makers, providers of professional learning and working teachers on the role of ICT in educational reform, as well as to assist Member States in developing national ICT competency standards for teachers with an ICT in Education Master Plan approach. Details on the Framework can be found at UNESCO ICT in Education. ICT-CFT Aligned Resource The Framework is arranged in three different approaches to teaching. Technology Literacy, enabling students to use ICT in order to learn more efficiently. Knowledge Deepening, enabling students to acquire in-depth knowledge of their school subjects and apply it to complex, real-world problems. Knowledge Creation, enabling students, citizens and the workforce they become, to create the new knowledge required for more harmonious, fulfilling and prosperous societies. Technology Literacy Knowledge Deepening Knowledge Creation Understanding ICT in Education Policy Awareness 21 Resources Policy Understanding 20 Resources Policy Innovation 9 Resources Curriculum and Assesment Basic Knowledge 19 Resources Knowledge Application 24 Resources Knowledge Society Skills 18 Resources Pedagogy Integrate Technology 25 Resources Complex Problem Solving 32 Resources Self Management 15 Resources ICT Basic Tools 34 Resources Complex Tools 30 Resources Pervasive Tools 12 Resources Organization and Administration Standard Classroom 16 Resources Collaborative Groups 16 Resources Learning Organizations 8 Resources Teacher Professional Learning Digital Literacy 21 Resources Manage and Guide 17 Resources Teacher as Model Learner 11 Resources ICT-CFT Adopters These countries are adopting the UNESCO ICT Competency Framework for Teachers. They are using groups to organize, collaborate, and share ICT-CTF aligned resources. Kenyan ICT CFT Course Guyana ICT in Education for Teachers Course Rwanda ICT Essentials for Teachers Course TIC pour l'universit\u00e9 de Djibouti The Phillippines ICT Competency Resources Indonesia Rumah Belajar Untuk Semua Formation \u00e0 Distance des Enseignants du Togo Matthew Goniwe School of Leadership &amp; Governance Zimbabwe ICT Essentials for Teachers ICT CFT Morocco Commonwealth of Learning Certificate for Teacher ICT Integration University of Cambridge OER4Schools ICT-CFT Toolkit and OER Creation tools ICT in Education - Teachers' Professional Development Toolkit ICT in Education - Teachers' Professional Development Toolkit This toolk\u2026", "author" : [ { "dropping-particle" : "", "family" : "Unesco", "given" : "", "non-dropping-particle" : "", "parse-names" : false, "suffix" : "" } ], "container-title" : "OER Commons UNESCO", "id" : "ITEM-1", "issued" : { "date-parts" : [ [ "2018" ] ] }, "title" : "UNESCO ICT Competency Framework for Teachers | OER Commons", "type" : "book" }, "uris" : [ "http://www.mendeley.com/documents/?uuid=f2c7ebaa-b807-455d-8fec-4b0f3e39d118" ] } ], "mendeley" : { "formattedCitation" : "[22]", "plainTextFormattedCitation" : "[22]", "previouslyFormattedCitation" : "[22]"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[22]</w:t>
          </w:r>
          <w:r w:rsidRPr="00C478A7">
            <w:rPr>
              <w:rFonts w:ascii="Times New Roman" w:hAnsi="Times New Roman" w:cs="Times New Roman"/>
            </w:rPr>
            <w:fldChar w:fldCharType="end"/>
          </w:r>
          <w:r w:rsidRPr="00C478A7">
            <w:rPr>
              <w:rFonts w:ascii="Times New Roman" w:hAnsi="Times New Roman" w:cs="Times New Roman"/>
            </w:rPr>
            <w:t>.</w:t>
          </w:r>
        </w:p>
        <w:p w:rsidR="00C4211A" w:rsidRDefault="00C4211A" w:rsidP="00C4211A">
          <w:pPr>
            <w:spacing w:after="0"/>
            <w:ind w:firstLine="270"/>
            <w:jc w:val="both"/>
          </w:pPr>
          <w:r w:rsidRPr="00C478A7">
            <w:rPr>
              <w:rFonts w:ascii="Times New Roman" w:hAnsi="Times New Roman" w:cs="Times New Roman"/>
            </w:rPr>
            <w:t xml:space="preserve">As a supporting tool in the implementation of 21st century learning, teachers need a toolkit, which is a learning resource used to introduce information and communication technology (ICT) in the learning process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"ISBN" : "9789231002854", "ISSN" : "9230010537", "abstract" : "The UNESCO ICT Competency Framework for Teachers (ICT-CFT) is intended to inform educational policy makers, providers of professional learning and working teachers on the role of ICT in educational reform, as well as to assist Member States in developing national ICT competency standards for teachers with an ICT in Education Master Plan approach. Details on the Framework can be found at UNESCO ICT in Education. ICT-CFT Aligned Resource The Framework is arranged in three different approaches to teaching. Technology Literacy, enabling students to use ICT in order to learn more efficiently. Knowledge Deepening, enabling students to acquire in-depth knowledge of their school subjects and apply it to complex, real-world problems. Knowledge Creation, enabling students, citizens and the workforce they become, to create the new knowledge required for more harmonious, fulfilling and prosperous societies. Technology Literacy Knowledge Deepening Knowledge Creation Understanding ICT in Education Policy Awareness 21 Resources Policy Understanding 20 Resources Policy Innovation 9 Resources Curriculum and Assesment Basic Knowledge 19 Resources Knowledge Application 24 Resources Knowledge Society Skills 18 Resources Pedagogy Integrate Technology 25 Resources Complex Problem Solving 32 Resources Self Management 15 Resources ICT Basic Tools 34 Resources Complex Tools 30 Resources Pervasive Tools 12 Resources Organization and Administration Standard Classroom 16 Resources Collaborative Groups 16 Resources Learning Organizations 8 Resources Teacher Professional Learning Digital Literacy 21 Resources Manage and Guide 17 Resources Teacher as Model Learner 11 Resources ICT-CFT Adopters These countries are adopting the UNESCO ICT Competency Framework for Teachers. They are using groups to organize, collaborate, and share ICT-CTF aligned resources. Kenyan ICT CFT Course Guyana ICT in Education for Teachers Course Rwanda ICT Essentials for Teachers Course TIC pour l'universit\u00e9 de Djibouti The Phillippines ICT Competency Resources Indonesia Rumah Belajar Untuk Semua Formation \u00e0 Distance des Enseignants du Togo Matthew Goniwe School of Leadership &amp; Governance Zimbabwe ICT Essentials for Teachers ICT CFT Morocco Commonwealth of Learning Certificate for Teacher ICT Integration University of Cambridge OER4Schools ICT-CFT Toolkit and OER Creation tools ICT in Education - Teachers' Professional Development Toolkit ICT in Education - Teachers' Professional Development Toolkit This toolk\u2026", "author" : [ { "dropping-particle" : "", "family" : "Unesco", "given" : "", "non-dropping-particle" : "", "parse-names" : false, "suffix" : "" } ], "container-title" : "OER Commons UNESCO", "id" : "ITEM-1", "issued" : { "date-parts" : [ [ "2018" ] ] }, "title" : "UNESCO ICT Competency Framework for Teachers | OER Commons", "type" : "book" }, "uris" : [ "http://www.mendeley.com/documents/?uuid=f2c7ebaa-b807-455d-8fec-4b0f3e39d118" ] } ], "mendeley" : { "formattedCitation" : "[22]", "plainTextFormattedCitation" : "[22]", "previouslyFormattedCitation" : "[22]"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[22]</w:t>
          </w:r>
          <w:r w:rsidRPr="00C478A7">
            <w:rPr>
              <w:rFonts w:ascii="Times New Roman" w:hAnsi="Times New Roman" w:cs="Times New Roman"/>
            </w:rPr>
            <w:fldChar w:fldCharType="end"/>
          </w:r>
          <w:r w:rsidRPr="00C478A7">
            <w:rPr>
              <w:rFonts w:ascii="Times New Roman" w:hAnsi="Times New Roman" w:cs="Times New Roman"/>
            </w:rPr>
            <w:t>. This learning resource utility includes the creation of ICT in learning strategies, considering learning approaches, designing curriculum, and ICT-based learning materials as a source of student learning. The toolkit is used by teachers to support 21st century learning, as a solution in dealing with the industrial revolution 4.0</w:t>
          </w:r>
        </w:p>
        <w:p w:rsidR="00C4211A" w:rsidRDefault="00C4211A">
          <w:pPr>
            <w:spacing w:after="0"/>
            <w:jc w:val="both"/>
            <w:rPr>
              <w:rFonts w:ascii="Times New Roman" w:eastAsia="Times New Roman" w:hAnsi="Times New Roman" w:cs="Times New Roman"/>
              <w:i/>
            </w:rPr>
          </w:pPr>
        </w:p>
        <w:sdt>
          <w:sdtPr>
            <w:tag w:val="goog_rdk_45"/>
            <w:id w:val="-250745764"/>
          </w:sdtPr>
          <w:sdtEndPr/>
          <w:sdtContent>
            <w:p w:rsidR="00C4211A" w:rsidRDefault="00C4211A" w:rsidP="00C4211A">
              <w:pPr>
                <w:spacing w:after="0"/>
                <w:rPr>
                  <w:rFonts w:ascii="Times New Roman" w:eastAsia="Times New Roman" w:hAnsi="Times New Roman" w:cs="Times New Roman"/>
                  <w:i/>
                </w:rPr>
              </w:pPr>
              <w:r>
                <w:rPr>
                  <w:rFonts w:ascii="Times New Roman" w:eastAsia="Times New Roman" w:hAnsi="Times New Roman" w:cs="Times New Roman"/>
                  <w:i/>
                </w:rPr>
                <w:t xml:space="preserve">3.3. </w:t>
              </w:r>
              <w:r>
                <w:rPr>
                  <w:rFonts w:ascii="Times New Roman" w:hAnsi="Times New Roman" w:cs="Times New Roman"/>
                  <w:i/>
                </w:rPr>
                <w:t>Technology Literacy</w:t>
              </w:r>
            </w:p>
          </w:sdtContent>
        </w:sdt>
        <w:sdt>
          <w:sdtPr>
            <w:tag w:val="goog_rdk_46"/>
            <w:id w:val="-351721809"/>
          </w:sdtPr>
          <w:sdtEndPr/>
          <w:sdtContent>
            <w:p w:rsidR="00C4211A" w:rsidRPr="00C478A7" w:rsidRDefault="00C4211A" w:rsidP="00C4211A">
              <w:pPr>
                <w:spacing w:after="0" w:line="240" w:lineRule="auto"/>
                <w:jc w:val="both"/>
                <w:rPr>
                  <w:rFonts w:ascii="Times New Roman" w:eastAsia="Times New Roman" w:hAnsi="Times New Roman" w:cs="Times New Roman"/>
                  <w:iCs/>
                  <w:bdr w:val="none" w:sz="0" w:space="0" w:color="auto" w:frame="1"/>
                </w:rPr>
              </w:pPr>
              <w:r w:rsidRPr="00C478A7">
                <w:rPr>
                  <w:rFonts w:ascii="Times New Roman" w:hAnsi="Times New Roman" w:cs="Times New Roman"/>
                </w:rPr>
                <w:t xml:space="preserve">Technology literacy as one of the frameworks in 21st century learning is a mandatory to be mastered teachers. Every teacher must be able to hone the ability to use technology in learning. Technology literacy is the ability to use, understand, manage and assess an innovation that involves processes and science in solving problems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"Technology", "given" : "International", "non-dropping-particle" : "", "parse-names" : false, "suffix" : "" } ], "id" : "ITEM-1", "issued" : { "date-parts" : [ [ "0" ] ] }, "title" : "Maryland Technology Education Standards", "type" : "article-journal" }, "uris" : [ "http://www.mendeley.com/documents/?uuid=6652ac47-89ae-4242-9d5c-a7ca38d1d2ac" ] } ], "mendeley" : { "formattedCitation" : "[23]", "plainTextFormattedCitation" : "[23]", "previouslyFormattedCitation" : "[23]"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[23]</w:t>
              </w:r>
              <w:r w:rsidRPr="00C478A7">
                <w:rPr>
                  <w:rFonts w:ascii="Times New Roman" w:hAnsi="Times New Roman" w:cs="Times New Roman"/>
                </w:rPr>
                <w:fldChar w:fldCharType="end"/>
              </w:r>
              <w:r w:rsidRPr="00C478A7">
                <w:rPr>
                  <w:rFonts w:ascii="Times New Roman" w:eastAsia="Times New Roman" w:hAnsi="Times New Roman" w:cs="Times New Roman"/>
                  <w:i/>
                  <w:iCs/>
                  <w:bdr w:val="none" w:sz="0" w:space="0" w:color="auto" w:frame="1"/>
                </w:rPr>
                <w:t xml:space="preserve">. </w:t>
              </w:r>
              <w:r w:rsidRPr="00C478A7">
                <w:rPr>
                  <w:rFonts w:ascii="Times New Roman" w:eastAsia="Times New Roman" w:hAnsi="Times New Roman" w:cs="Times New Roman"/>
                  <w:iCs/>
                  <w:bdr w:val="none" w:sz="0" w:space="0" w:color="auto" w:frame="1"/>
                </w:rPr>
                <w:t xml:space="preserve">As a teacher who has a level of technological literacy, he/she will have an understanding of technology at a level that allows effective utilization </w:t>
              </w:r>
              <w:r w:rsidRPr="00C478A7">
                <w:rPr>
                  <w:rFonts w:ascii="Times New Roman" w:eastAsia="Times New Roman" w:hAnsi="Times New Roman" w:cs="Times New Roman"/>
                  <w:iCs/>
                  <w:bdr w:val="none" w:sz="0" w:space="0" w:color="auto" w:frame="1"/>
                </w:rPr>
                <w:fldChar w:fldCharType="begin" w:fldLock="1"/>
              </w:r>
              <w:r w:rsidRPr="00C478A7">
                <w:rPr>
                  <w:rFonts w:ascii="Times New Roman" w:eastAsia="Times New Roman" w:hAnsi="Times New Roman" w:cs="Times New Roman"/>
                  <w:iCs/>
                  <w:bdr w:val="none" w:sz="0" w:space="0" w:color="auto" w:frame="1"/>
                </w:rPr>
                <w:instrText>ADDIN CSL_CITATION { "citationItems" : [ { "id" : "ITEM-1", "itemData" : { "DOI" : "10.17226/11709", "ISBN" : "978-0-309-10246-9", "author" : [ { "dropping-particle" : "", "family" : "Schools", "given" : "High", "non-dropping-particle" : "", "parse-names" : false, "suffix" : "" } ], "id" : "ITEM-1", "issued" : { "date-parts" : [ [ "2006" ] ] }, "title" : "ICT Fluency and High Schools", "type" : "book" }, "uris" : [ "http://www.mendeley.com/documents/?uuid=5d54fb52-6f84-49d5-ab43-f9c6f7d8c8e5" ] } ], "mendeley" : { "formattedCitation" : "[24]", "plainTextFormattedCitation" : "[24]", "previouslyFormattedCitation" : "[24]" }, "properties" : { "noteIndex" : 0 }, "schema" : "https://github.com/citation-style-language/schema/raw/master/csl-citation.json" }</w:instrText>
              </w:r>
              <w:r w:rsidRPr="00C478A7">
                <w:rPr>
                  <w:rFonts w:ascii="Times New Roman" w:eastAsia="Times New Roman" w:hAnsi="Times New Roman" w:cs="Times New Roman"/>
                  <w:iCs/>
                  <w:bdr w:val="none" w:sz="0" w:space="0" w:color="auto" w:frame="1"/>
                </w:rPr>
                <w:fldChar w:fldCharType="separate"/>
              </w:r>
              <w:r w:rsidRPr="00C478A7">
                <w:rPr>
                  <w:rFonts w:ascii="Times New Roman" w:eastAsia="Times New Roman" w:hAnsi="Times New Roman" w:cs="Times New Roman"/>
                  <w:iCs/>
                  <w:noProof/>
                  <w:bdr w:val="none" w:sz="0" w:space="0" w:color="auto" w:frame="1"/>
                </w:rPr>
                <w:t>[24]</w:t>
              </w:r>
              <w:r w:rsidRPr="00C478A7">
                <w:rPr>
                  <w:rFonts w:ascii="Times New Roman" w:eastAsia="Times New Roman" w:hAnsi="Times New Roman" w:cs="Times New Roman"/>
                  <w:iCs/>
                  <w:bdr w:val="none" w:sz="0" w:space="0" w:color="auto" w:frame="1"/>
                </w:rPr>
                <w:fldChar w:fldCharType="end"/>
              </w:r>
              <w:r w:rsidRPr="00C478A7">
                <w:rPr>
                  <w:rFonts w:ascii="Times New Roman" w:eastAsia="Times New Roman" w:hAnsi="Times New Roman" w:cs="Times New Roman"/>
                  <w:i/>
                  <w:iCs/>
                  <w:bdr w:val="none" w:sz="0" w:space="0" w:color="auto" w:frame="1"/>
                </w:rPr>
                <w:t xml:space="preserve">. </w:t>
              </w:r>
              <w:r w:rsidRPr="00C478A7">
                <w:rPr>
                  <w:rFonts w:ascii="Times New Roman" w:eastAsia="Times New Roman" w:hAnsi="Times New Roman" w:cs="Times New Roman"/>
                  <w:iCs/>
                  <w:bdr w:val="none" w:sz="0" w:space="0" w:color="auto" w:frame="1"/>
                </w:rPr>
                <w:t xml:space="preserve">The ability of technology literacy is generally divided into two perspectives, the first is the basics of ICT knowledge which includes concepts and understanding of theoretical principles regarding computers, information systems, digitization, programming, technological limitations and social impacts. Second, perfective ICT skills include understanding and ability to use ICT </w:t>
              </w:r>
              <w:r w:rsidRPr="00C478A7">
                <w:rPr>
                  <w:rFonts w:ascii="Times New Roman" w:eastAsia="Times New Roman" w:hAnsi="Times New Roman" w:cs="Times New Roman"/>
                  <w:iCs/>
                  <w:bdr w:val="none" w:sz="0" w:space="0" w:color="auto" w:frame="1"/>
                </w:rPr>
                <w:fldChar w:fldCharType="begin" w:fldLock="1"/>
              </w:r>
              <w:r w:rsidRPr="00C478A7">
                <w:rPr>
                  <w:rFonts w:ascii="Times New Roman" w:eastAsia="Times New Roman" w:hAnsi="Times New Roman" w:cs="Times New Roman"/>
                  <w:iCs/>
                  <w:bdr w:val="none" w:sz="0" w:space="0" w:color="auto" w:frame="1"/>
                </w:rPr>
                <w:instrText>ADDIN CSL_CITATION { "citationItems" : [ { "id" : "ITEM-1", "itemData" : { "DOI" : "10.17226/11709", "ISBN" : "978-0-309-10246-9", "author" : [ { "dropping-particle" : "", "family" : "Schools", "given" : "High", "non-dropping-particle" : "", "parse-names" : false, "suffix" : "" } ], "id" : "ITEM-1", "issued" : { "date-parts" : [ [ "2006" ] ] }, "title" : "ICT Fluency and High Schools", "type" : "book" }, "uris" : [ "http://www.mendeley.com/documents/?uuid=5d54fb52-6f84-49d5-ab43-f9c6f7d8c8e5" ] } ], "mendeley" : { "formattedCitation" : "[24]", "plainTextFormattedCitation" : "[24]", "previouslyFormattedCitation" : "[24]" }, "properties" : { "noteIndex" : 0 }, "schema" : "https://github.com/citation-style-language/schema/raw/master/csl-citation.json" }</w:instrText>
              </w:r>
              <w:r w:rsidRPr="00C478A7">
                <w:rPr>
                  <w:rFonts w:ascii="Times New Roman" w:eastAsia="Times New Roman" w:hAnsi="Times New Roman" w:cs="Times New Roman"/>
                  <w:iCs/>
                  <w:bdr w:val="none" w:sz="0" w:space="0" w:color="auto" w:frame="1"/>
                </w:rPr>
                <w:fldChar w:fldCharType="separate"/>
              </w:r>
              <w:r w:rsidRPr="00C478A7">
                <w:rPr>
                  <w:rFonts w:ascii="Times New Roman" w:eastAsia="Times New Roman" w:hAnsi="Times New Roman" w:cs="Times New Roman"/>
                  <w:iCs/>
                  <w:noProof/>
                  <w:bdr w:val="none" w:sz="0" w:space="0" w:color="auto" w:frame="1"/>
                </w:rPr>
                <w:t>[24]</w:t>
              </w:r>
              <w:r w:rsidRPr="00C478A7">
                <w:rPr>
                  <w:rFonts w:ascii="Times New Roman" w:eastAsia="Times New Roman" w:hAnsi="Times New Roman" w:cs="Times New Roman"/>
                  <w:iCs/>
                  <w:bdr w:val="none" w:sz="0" w:space="0" w:color="auto" w:frame="1"/>
                </w:rPr>
                <w:fldChar w:fldCharType="end"/>
              </w:r>
              <w:r w:rsidRPr="00C478A7">
                <w:rPr>
                  <w:rFonts w:ascii="Times New Roman" w:eastAsia="Times New Roman" w:hAnsi="Times New Roman" w:cs="Times New Roman"/>
                  <w:iCs/>
                  <w:bdr w:val="none" w:sz="0" w:space="0" w:color="auto" w:frame="1"/>
                </w:rPr>
                <w:t xml:space="preserve">. </w:t>
              </w:r>
            </w:p>
            <w:p w:rsidR="00C4211A" w:rsidRDefault="00C4211A" w:rsidP="00C4211A">
              <w:pPr>
                <w:pStyle w:val="ListParagraph"/>
                <w:autoSpaceDE w:val="0"/>
                <w:autoSpaceDN w:val="0"/>
                <w:adjustRightInd w:val="0"/>
                <w:spacing w:after="0" w:line="240" w:lineRule="auto"/>
                <w:ind w:left="0" w:firstLine="270"/>
                <w:jc w:val="both"/>
                <w:rPr>
                  <w:rFonts w:ascii="Times New Roman" w:hAnsi="Times New Roman" w:cs="Times New Roman"/>
                </w:rPr>
              </w:pPr>
              <w:r w:rsidRPr="00C478A7">
                <w:rPr>
                  <w:rFonts w:ascii="Times New Roman" w:hAnsi="Times New Roman" w:cs="Times New Roman"/>
                </w:rPr>
                <w:t xml:space="preserve">Technology literacy is the ability to use digital technology, communication tools / networks to access, manage, integrate, evaluate and make information as knowledge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"ISBN" : "7094", "abstract" : "In January 2001, Educational Testing Service (ETS) convened an international panel to study the growing importance of existing and emerging Information and Communication Technologies (ICT) and their relationship to literacy. The panel was made up of experts ...", "author" : [ { "dropping-particle" : "", "family" : "(ETS)", "given" : "Education Testing Service", "non-dropping-particle" : "", "parse-names" : false, "suffix" : "" } ], "container-title" : "Educational Testing", "id" : "ITEM-1", "issued" : { "date-parts" : [ [ "2007" ] ] }, "title" : "Digital Transformation: A Framework for ICT Literacy. A Report of the International ICT Literacy Panel", "type" : "report" }, "uris" : [ "http://www.mendeley.com/documents/?uuid=d327bbdb-ab30-4ca8-8159-f3279d83cb30" ] } ], "mendeley" : { "formattedCitation" : "[25]", "plainTextFormattedCitation" : "[25]", "previouslyFormattedCitation" : "[25]"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[25]</w:t>
              </w:r>
              <w:r w:rsidRPr="00C478A7">
                <w:rPr>
                  <w:rFonts w:ascii="Times New Roman" w:hAnsi="Times New Roman" w:cs="Times New Roman"/>
                </w:rPr>
                <w:fldChar w:fldCharType="end"/>
              </w:r>
              <w:r w:rsidRPr="00C478A7">
                <w:rPr>
                  <w:rFonts w:ascii="Times New Roman" w:hAnsi="Times New Roman" w:cs="Times New Roman"/>
                </w:rPr>
                <w:t>.</w:t>
              </w:r>
            </w:p>
            <w:p w:rsidR="00C4211A" w:rsidRDefault="00C4211A" w:rsidP="00C4211A">
              <w:pPr>
                <w:pStyle w:val="ListParagraph"/>
                <w:autoSpaceDE w:val="0"/>
                <w:autoSpaceDN w:val="0"/>
                <w:adjustRightInd w:val="0"/>
                <w:spacing w:after="0" w:line="240" w:lineRule="auto"/>
                <w:ind w:left="0" w:firstLine="270"/>
                <w:jc w:val="both"/>
                <w:rPr>
                  <w:rFonts w:ascii="Times New Roman" w:hAnsi="Times New Roman" w:cs="Times New Roman"/>
                </w:rPr>
              </w:pPr>
            </w:p>
            <w:tbl>
              <w:tblPr>
                <w:tblStyle w:val="a"/>
                <w:tblW w:w="776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329"/>
                <w:gridCol w:w="6379"/>
                <w:gridCol w:w="56"/>
              </w:tblGrid>
              <w:tr w:rsidR="00C4211A" w:rsidTr="00045980">
                <w:trPr>
                  <w:gridAfter w:val="1"/>
                  <w:wAfter w:w="56" w:type="dxa"/>
                  <w:jc w:val="center"/>
                </w:trPr>
                <w:tc>
                  <w:tcPr>
                    <w:tcW w:w="1329" w:type="dxa"/>
                  </w:tcPr>
                  <w:sdt>
                    <w:sdtPr>
                      <w:tag w:val="goog_rdk_16"/>
                      <w:id w:val="-984849538"/>
                    </w:sdtPr>
                    <w:sdtEndPr/>
                    <w:sdtContent>
                      <w:p w:rsidR="00C4211A" w:rsidRDefault="00C4211A" w:rsidP="00045980">
                        <w:pPr>
                          <w:widowControl w:val="0"/>
                          <w:pBdr>
                            <w:top w:val="nil"/>
                            <w:left w:val="nil"/>
                            <w:bottom w:val="nil"/>
                            <w:right w:val="nil"/>
                            <w:between w:val="nil"/>
                          </w:pBdr>
                          <w:spacing w:after="0"/>
                        </w:pPr>
                      </w:p>
                      <w:p w:rsidR="00C4211A" w:rsidRDefault="00C4211A" w:rsidP="00045980">
                        <w:pPr>
                          <w:widowControl w:val="0"/>
                          <w:pBdr>
                            <w:top w:val="nil"/>
                            <w:left w:val="nil"/>
                            <w:bottom w:val="nil"/>
                            <w:right w:val="nil"/>
                            <w:between w:val="nil"/>
                          </w:pBdr>
                          <w:spacing w:after="0"/>
                        </w:pPr>
                      </w:p>
                      <w:p w:rsidR="00C4211A" w:rsidRDefault="00BA78DA" w:rsidP="00045980">
                        <w:pPr>
                          <w:widowControl w:val="0"/>
                          <w:pBdr>
                            <w:top w:val="nil"/>
                            <w:left w:val="nil"/>
                            <w:bottom w:val="nil"/>
                            <w:right w:val="nil"/>
                            <w:between w:val="nil"/>
                          </w:pBdr>
                          <w:spacing w:after="0"/>
                          <w:rPr>
                            <w:rFonts w:ascii="Times New Roman" w:eastAsia="Times New Roman" w:hAnsi="Times New Roman" w:cs="Times New Roman"/>
                            <w:i/>
                            <w:color w:val="000000"/>
                          </w:rPr>
                        </w:pPr>
                      </w:p>
                    </w:sdtContent>
                  </w:sdt>
                </w:tc>
                <w:tc>
                  <w:tcPr>
                    <w:tcW w:w="6379" w:type="dxa"/>
                    <w:shd w:val="clear" w:color="auto" w:fill="auto"/>
                  </w:tcPr>
                  <w:sdt>
                    <w:sdtPr>
                      <w:tag w:val="goog_rdk_17"/>
                      <w:id w:val="906030320"/>
                    </w:sdtPr>
                    <w:sdtEndPr/>
                    <w:sdtContent>
                      <w:p w:rsidR="00C4211A" w:rsidRDefault="00C4211A" w:rsidP="00045980">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C4211A">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5F3EF2D6" wp14:editId="0CF6E2EC">
                                  <wp:simplePos x="0" y="0"/>
                                  <wp:positionH relativeFrom="column">
                                    <wp:posOffset>-963753</wp:posOffset>
                                  </wp:positionH>
                                  <wp:positionV relativeFrom="paragraph">
                                    <wp:posOffset>139503</wp:posOffset>
                                  </wp:positionV>
                                  <wp:extent cx="5010252" cy="271813"/>
                                  <wp:effectExtent l="0" t="0" r="19050" b="13970"/>
                                  <wp:wrapNone/>
                                  <wp:docPr id="10" name="Group 10"/>
                                  <wp:cNvGraphicFramePr/>
                                  <a:graphic xmlns:a="http://schemas.openxmlformats.org/drawingml/2006/main">
                                    <a:graphicData uri="http://schemas.microsoft.com/office/word/2010/wordprocessingGroup">
                                      <wpg:wgp>
                                        <wpg:cNvGrpSpPr/>
                                        <wpg:grpSpPr>
                                          <a:xfrm>
                                            <a:off x="0" y="0"/>
                                            <a:ext cx="5010252" cy="271813"/>
                                            <a:chOff x="0" y="0"/>
                                            <a:chExt cx="5010252" cy="271813"/>
                                          </a:xfrm>
                                        </wpg:grpSpPr>
                                        <wps:wsp>
                                          <wps:cNvPr id="1" name="Text Box 1"/>
                                          <wps:cNvSpPr txBox="1"/>
                                          <wps:spPr>
                                            <a:xfrm>
                                              <a:off x="0" y="0"/>
                                              <a:ext cx="651510" cy="254000"/>
                                            </a:xfrm>
                                            <a:prstGeom prst="rect">
                                              <a:avLst/>
                                            </a:prstGeom>
                                            <a:solidFill>
                                              <a:sysClr val="window" lastClr="FFFFFF"/>
                                            </a:solidFill>
                                            <a:ln w="12700" cap="flat" cmpd="sng" algn="ctr">
                                              <a:solidFill>
                                                <a:srgbClr val="ED7D31"/>
                                              </a:solidFill>
                                              <a:prstDash val="solid"/>
                                              <a:miter lim="800000"/>
                                            </a:ln>
                                            <a:effectLst/>
                                          </wps:spPr>
                                          <wps:txb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85652" y="0"/>
                                              <a:ext cx="763270" cy="254000"/>
                                            </a:xfrm>
                                            <a:prstGeom prst="rect">
                                              <a:avLst/>
                                            </a:prstGeom>
                                            <a:solidFill>
                                              <a:sysClr val="window" lastClr="FFFFFF"/>
                                            </a:solidFill>
                                            <a:ln w="12700" cap="flat" cmpd="sng" algn="ctr">
                                              <a:solidFill>
                                                <a:srgbClr val="ED7D31"/>
                                              </a:solidFill>
                                              <a:prstDash val="solid"/>
                                              <a:miter lim="800000"/>
                                            </a:ln>
                                            <a:effectLst/>
                                          </wps:spPr>
                                          <wps:txb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Manage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078182" y="17813"/>
                                              <a:ext cx="738505" cy="254000"/>
                                            </a:xfrm>
                                            <a:prstGeom prst="rect">
                                              <a:avLst/>
                                            </a:prstGeom>
                                            <a:solidFill>
                                              <a:sysClr val="window" lastClr="FFFFFF"/>
                                            </a:solidFill>
                                            <a:ln w="12700" cap="flat" cmpd="sng" algn="ctr">
                                              <a:solidFill>
                                                <a:srgbClr val="ED7D31"/>
                                              </a:solidFill>
                                              <a:prstDash val="solid"/>
                                              <a:miter lim="800000"/>
                                            </a:ln>
                                            <a:effectLst/>
                                          </wps:spPr>
                                          <wps:txb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Integrate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188525" y="0"/>
                                              <a:ext cx="733425" cy="254000"/>
                                            </a:xfrm>
                                            <a:prstGeom prst="rect">
                                              <a:avLst/>
                                            </a:prstGeom>
                                            <a:solidFill>
                                              <a:sysClr val="window" lastClr="FFFFFF"/>
                                            </a:solidFill>
                                            <a:ln w="12700" cap="flat" cmpd="sng" algn="ctr">
                                              <a:solidFill>
                                                <a:srgbClr val="ED7D31"/>
                                              </a:solidFill>
                                              <a:prstDash val="solid"/>
                                              <a:miter lim="800000"/>
                                            </a:ln>
                                            <a:effectLst/>
                                          </wps:spPr>
                                          <wps:txb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Evaluate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58245" y="0"/>
                                              <a:ext cx="652007" cy="254441"/>
                                            </a:xfrm>
                                            <a:prstGeom prst="rect">
                                              <a:avLst/>
                                            </a:prstGeom>
                                            <a:solidFill>
                                              <a:sysClr val="window" lastClr="FFFFFF"/>
                                            </a:solidFill>
                                            <a:ln w="12700" cap="flat" cmpd="sng" algn="ctr">
                                              <a:solidFill>
                                                <a:srgbClr val="ED7D31"/>
                                              </a:solidFill>
                                              <a:prstDash val="solid"/>
                                              <a:miter lim="800000"/>
                                            </a:ln>
                                            <a:effectLst/>
                                          </wps:spPr>
                                          <wps:txb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Create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706582" y="130629"/>
                                              <a:ext cx="243205" cy="5715"/>
                                            </a:xfrm>
                                            <a:prstGeom prst="straightConnector1">
                                              <a:avLst/>
                                            </a:prstGeom>
                                            <a:noFill/>
                                            <a:ln w="6350" cap="flat" cmpd="sng" algn="ctr">
                                              <a:solidFill>
                                                <a:srgbClr val="ED7D31"/>
                                              </a:solidFill>
                                              <a:prstDash val="solid"/>
                                              <a:miter lim="800000"/>
                                              <a:tailEnd type="triangle"/>
                                            </a:ln>
                                            <a:effectLst/>
                                          </wps:spPr>
                                          <wps:bodyPr/>
                                        </wps:wsp>
                                        <wps:wsp>
                                          <wps:cNvPr id="7" name="Straight Arrow Connector 7"/>
                                          <wps:cNvCnPr/>
                                          <wps:spPr>
                                            <a:xfrm>
                                              <a:off x="1787237" y="130629"/>
                                              <a:ext cx="243205" cy="5715"/>
                                            </a:xfrm>
                                            <a:prstGeom prst="straightConnector1">
                                              <a:avLst/>
                                            </a:prstGeom>
                                            <a:noFill/>
                                            <a:ln w="6350" cap="flat" cmpd="sng" algn="ctr">
                                              <a:solidFill>
                                                <a:srgbClr val="ED7D31"/>
                                              </a:solidFill>
                                              <a:prstDash val="solid"/>
                                              <a:miter lim="800000"/>
                                              <a:tailEnd type="triangle"/>
                                            </a:ln>
                                            <a:effectLst/>
                                          </wps:spPr>
                                          <wps:bodyPr/>
                                        </wps:wsp>
                                        <wps:wsp>
                                          <wps:cNvPr id="8" name="Straight Arrow Connector 8"/>
                                          <wps:cNvCnPr/>
                                          <wps:spPr>
                                            <a:xfrm>
                                              <a:off x="2873829" y="142504"/>
                                              <a:ext cx="243205" cy="5715"/>
                                            </a:xfrm>
                                            <a:prstGeom prst="straightConnector1">
                                              <a:avLst/>
                                            </a:prstGeom>
                                            <a:noFill/>
                                            <a:ln w="6350" cap="flat" cmpd="sng" algn="ctr">
                                              <a:solidFill>
                                                <a:srgbClr val="ED7D31"/>
                                              </a:solidFill>
                                              <a:prstDash val="solid"/>
                                              <a:miter lim="800000"/>
                                              <a:tailEnd type="triangle"/>
                                            </a:ln>
                                            <a:effectLst/>
                                          </wps:spPr>
                                          <wps:bodyPr/>
                                        </wps:wsp>
                                        <wps:wsp>
                                          <wps:cNvPr id="9" name="Straight Arrow Connector 9"/>
                                          <wps:cNvCnPr/>
                                          <wps:spPr>
                                            <a:xfrm>
                                              <a:off x="4031673" y="160317"/>
                                              <a:ext cx="243205" cy="5715"/>
                                            </a:xfrm>
                                            <a:prstGeom prst="straightConnector1">
                                              <a:avLst/>
                                            </a:prstGeom>
                                            <a:noFill/>
                                            <a:ln w="6350" cap="flat" cmpd="sng" algn="ctr">
                                              <a:solidFill>
                                                <a:srgbClr val="ED7D31"/>
                                              </a:solidFill>
                                              <a:prstDash val="solid"/>
                                              <a:miter lim="800000"/>
                                              <a:tailEnd type="triangle"/>
                                            </a:ln>
                                            <a:effectLst/>
                                          </wps:spPr>
                                          <wps:bodyPr/>
                                        </wps:wsp>
                                      </wpg:wgp>
                                    </a:graphicData>
                                  </a:graphic>
                                </wp:anchor>
                              </w:drawing>
                            </mc:Choice>
                            <mc:Fallback>
                              <w:pict>
                                <v:group w14:anchorId="5F3EF2D6" id="Group 10" o:spid="_x0000_s1026" style="position:absolute;left:0;text-align:left;margin-left:-75.9pt;margin-top:11pt;width:394.5pt;height:21.4pt;z-index:251659264" coordsize="50102,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">
                                  <v:shapetype id="_x0000_t202" coordsize="21600,21600" o:spt="202" path="m,l,21600r21600,l21600,xe">
                                    <v:stroke joinstyle="miter"/>
                                    <v:path gradientshapeok="t" o:connecttype="rect"/>
                                  </v:shapetype>
                                  <v:shape id="Text Box 1" o:spid="_x0000_s1027" type="#_x0000_t202" style="position:absolute;width:651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1Pu8EA&#10;AADaAAAADwAAAGRycy9kb3ducmV2LnhtbERPS4vCMBC+C/sfwix403R7WKQaZRFkXR8H6168Dc30&#10;gc2kNLFWf70RBE/Dx/ec2aI3teiodZVlBV/jCARxZnXFhYL/42o0AeE8ssbaMim4kYPF/GMww0Tb&#10;Kx+oS30hQgi7BBWU3jeJlC4ryaAb24Y4cLltDfoA20LqFq8h3NQyjqJvabDi0FBiQ8uSsnN6MQo2&#10;xS5uDvv7Nj93v8e8z05/8eak1PCz/5mC8NT7t/jlXuswH56vP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tT7vBAAAA2gAAAA8AAAAAAAAAAAAAAAAAmAIAAGRycy9kb3du&#10;cmV2LnhtbFBLBQYAAAAABAAEAPUAAACGAwAAAAA=&#10;" fillcolor="window" strokecolor="#ed7d31" strokeweight="1pt">
                                    <v:textbo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Access</w:t>
                                          </w:r>
                                        </w:p>
                                      </w:txbxContent>
                                    </v:textbox>
                                  </v:shape>
                                  <v:shape id="Text Box 2" o:spid="_x0000_s1028" type="#_x0000_t202" style="position:absolute;left:9856;width:763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zMMA&#10;AADaAAAADwAAAGRycy9kb3ducmV2LnhtbESPS4vCQBCE74L/YWjBm07MQSTrKCKIro+DuhdvTabz&#10;wExPyMzGuL9+RxA8FlX1FTVfdqYSLTWutKxgMo5AEKdWl5wr+LluRjMQziNrrCyTgic5WC76vTkm&#10;2j74TO3F5yJA2CWooPC+TqR0aUEG3djWxMHLbGPQB9nkUjf4CHBTyTiKptJgyWGhwJrWBaX3y69R&#10;sM+PcX0+/R2ye7u9Zl16+473N6WGg271BcJT5z/hd3unFcTwuhJu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zMMAAADaAAAADwAAAAAAAAAAAAAAAACYAgAAZHJzL2Rv&#10;d25yZXYueG1sUEsFBgAAAAAEAAQA9QAAAIgDAAAAAA==&#10;" fillcolor="window" strokecolor="#ed7d31" strokeweight="1pt">
                                    <v:textbo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Manage</w:t>
                                          </w:r>
                                        </w:p>
                                      </w:txbxContent>
                                    </v:textbox>
                                  </v:shape>
                                  <v:shape id="Text Box 3" o:spid="_x0000_s1029" type="#_x0000_t202" style="position:absolute;left:20781;top:178;width:738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V8QA&#10;AADaAAAADwAAAGRycy9kb3ducmV2LnhtbESPS4vCQBCE78L+h6EXvOlkI4hkHUWERdfHQd2LtybT&#10;eWCmJ2RmY/TXO4Lgsaiqr6jpvDOVaKlxpWUFX8MIBHFqdcm5gr/Tz2ACwnlkjZVlUnAjB/PZR2+K&#10;ibZXPlB79LkIEHYJKii8rxMpXVqQQTe0NXHwMtsY9EE2udQNXgPcVDKOorE0WHJYKLCmZUHp5fhv&#10;FGzyXVwf9vdtdmlXp6xLz7/x5qxU/7NbfIPw1Pl3+NVeawUjeF4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zdFfEAAAA2gAAAA8AAAAAAAAAAAAAAAAAmAIAAGRycy9k&#10;b3ducmV2LnhtbFBLBQYAAAAABAAEAPUAAACJAwAAAAA=&#10;" fillcolor="window" strokecolor="#ed7d31" strokeweight="1pt">
                                    <v:textbo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Integrate </w:t>
                                          </w:r>
                                        </w:p>
                                      </w:txbxContent>
                                    </v:textbox>
                                  </v:shape>
                                  <v:shape id="Text Box 4" o:spid="_x0000_s1030" type="#_x0000_t202" style="position:absolute;left:31885;width:7334;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sI8QA&#10;AADaAAAADwAAAGRycy9kb3ducmV2LnhtbESPS4vCQBCE78L+h6EXvOlkg4hkHUWERdfHQd2LtybT&#10;eWCmJ2RmY/TXO4Lgsaiqr6jpvDOVaKlxpWUFX8MIBHFqdcm5gr/Tz2ACwnlkjZVlUnAjB/PZR2+K&#10;ibZXPlB79LkIEHYJKii8rxMpXVqQQTe0NXHwMtsY9EE2udQNXgPcVDKOorE0WHJYKLCmZUHp5fhv&#10;FGzyXVwf9vdtdmlXp6xLz7/x5qxU/7NbfIPw1Pl3+NVeawUjeF4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7CPEAAAA2gAAAA8AAAAAAAAAAAAAAAAAmAIAAGRycy9k&#10;b3ducmV2LnhtbFBLBQYAAAAABAAEAPUAAACJAwAAAAA=&#10;" fillcolor="window" strokecolor="#ed7d31" strokeweight="1pt">
                                    <v:textbo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Evaluate </w:t>
                                          </w:r>
                                        </w:p>
                                      </w:txbxContent>
                                    </v:textbox>
                                  </v:shape>
                                  <v:shape id="Text Box 5" o:spid="_x0000_s1031" type="#_x0000_t202" style="position:absolute;left:43582;width:6520;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JuMQA&#10;AADaAAAADwAAAGRycy9kb3ducmV2LnhtbESPS4vCQBCE78L+h6EXvOlkA4pkHUWERdfHQd2LtybT&#10;eWCmJ2RmY/TXO4Lgsaiqr6jpvDOVaKlxpWUFX8MIBHFqdcm5gr/Tz2ACwnlkjZVlUnAjB/PZR2+K&#10;ibZXPlB79LkIEHYJKii8rxMpXVqQQTe0NXHwMtsY9EE2udQNXgPcVDKOorE0WHJYKLCmZUHp5fhv&#10;FGzyXVwf9vdtdmlXp6xLz7/x5qxU/7NbfIPw1Pl3+NVeawUjeF4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WSbjEAAAA2gAAAA8AAAAAAAAAAAAAAAAAmAIAAGRycy9k&#10;b3ducmV2LnhtbFBLBQYAAAAABAAEAPUAAACJAwAAAAA=&#10;" fillcolor="window" strokecolor="#ed7d31" strokeweight="1pt">
                                    <v:textbox>
                                      <w:txbxContent>
                                        <w:p w:rsidR="00C4211A" w:rsidRPr="00C4211A" w:rsidRDefault="00C4211A" w:rsidP="00C4211A">
                                          <w:pPr>
                                            <w:jc w:val="center"/>
                                            <w:rPr>
                                              <w:rFonts w:ascii="Times New Roman" w:hAnsi="Times New Roman" w:cs="Times New Roman"/>
                                            </w:rPr>
                                          </w:pPr>
                                          <w:r w:rsidRPr="00C4211A">
                                            <w:rPr>
                                              <w:rFonts w:ascii="Times New Roman" w:hAnsi="Times New Roman" w:cs="Times New Roman"/>
                                            </w:rPr>
                                            <w:t xml:space="preserve">Create </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7065;top:1306;width:243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C68QAAADaAAAADwAAAGRycy9kb3ducmV2LnhtbESPT2vCQBTE74LfYXmF3nTTUqREV4m2&#10;hR4E6z+8PrLPbDT7Ns2uJn77bkHwOMzMb5jJrLOVuFLjS8cKXoYJCOLc6ZILBbvt1+AdhA/IGivH&#10;pOBGHmbTfm+CqXYtr+m6CYWIEPYpKjAh1KmUPjdk0Q9dTRy9o2sshiibQuoG2wi3lXxNkpG0WHJc&#10;MFjTwlB+3lysgo/Dab3i7HN1+a1Dmy3fzP6nmiv1/NRlYxCBuvAI39vfWsEI/q/EG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kLrxAAAANoAAAAPAAAAAAAAAAAA&#10;AAAAAKECAABkcnMvZG93bnJldi54bWxQSwUGAAAAAAQABAD5AAAAkgMAAAAA&#10;" strokecolor="#ed7d31" strokeweight=".5pt">
                                    <v:stroke endarrow="block" joinstyle="miter"/>
                                  </v:shape>
                                  <v:shape id="Straight Arrow Connector 7" o:spid="_x0000_s1033" type="#_x0000_t32" style="position:absolute;left:17872;top:1306;width:243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7ncMUAAADaAAAADwAAAGRycy9kb3ducmV2LnhtbESPT2vCQBTE74LfYXlCb7pRSiupq0Rt&#10;oYeCf9ri9ZF9ZqPZtzG7mvTbdwsFj8PM/IaZLTpbiRs1vnSsYDxKQBDnTpdcKPj6fBtOQfiArLFy&#10;TAp+yMNi3u/NMNWu5R3d9qEQEcI+RQUmhDqV0ueGLPqRq4mjd3SNxRBlU0jdYBvhtpKTJHmSFkuO&#10;CwZrWhnKz/urVbA+nHYbzl4310sd2uzj0Xxvq6VSD4MuewERqAv38H/7XSt4hr8r8Qb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7ncMUAAADaAAAADwAAAAAAAAAA&#10;AAAAAAChAgAAZHJzL2Rvd25yZXYueG1sUEsFBgAAAAAEAAQA+QAAAJMDAAAAAA==&#10;" strokecolor="#ed7d31" strokeweight=".5pt">
                                    <v:stroke endarrow="block" joinstyle="miter"/>
                                  </v:shape>
                                  <v:shape id="Straight Arrow Connector 8" o:spid="_x0000_s1034" type="#_x0000_t32" style="position:absolute;left:28738;top:1425;width:243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zAsEAAADaAAAADwAAAGRycy9kb3ducmV2LnhtbERPz2vCMBS+D/wfwhO8zdQxZFRj6dwG&#10;HgSnU7w+mmdT17x0TWq7/345CDt+fL+X2WBrcaPWV44VzKYJCOLC6YpLBcevj8cXED4ga6wdk4Jf&#10;8pCtRg9LTLXreU+3QyhFDGGfogITQpNK6QtDFv3UNcSRu7jWYoiwLaVusY/htpZPSTKXFiuODQYb&#10;Whsqvg+dVfB2vu53nL/vup8m9Pn22Zw+61elJuMhX4AINIR/8d290Qri1ngl3g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QXMCwQAAANoAAAAPAAAAAAAAAAAAAAAA&#10;AKECAABkcnMvZG93bnJldi54bWxQSwUGAAAAAAQABAD5AAAAjwMAAAAA&#10;" strokecolor="#ed7d31" strokeweight=".5pt">
                                    <v:stroke endarrow="block" joinstyle="miter"/>
                                  </v:shape>
                                  <v:shape id="Straight Arrow Connector 9" o:spid="_x0000_s1035" type="#_x0000_t32" style="position:absolute;left:40316;top:1603;width:2432;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3WmcUAAADaAAAADwAAAGRycy9kb3ducmV2LnhtbESPT2vCQBTE74LfYXlCb7pRSqmpq0Rt&#10;oYeCf9ri9ZF9ZqPZtzG7mvTbdwsFj8PM/IaZLTpbiRs1vnSsYDxKQBDnTpdcKPj6fBs+g/ABWWPl&#10;mBT8kIfFvN+bYapdyzu67UMhIoR9igpMCHUqpc8NWfQjVxNH7+gaiyHKppC6wTbCbSUnSfIkLZYc&#10;FwzWtDKUn/dXq2B9OO02nL1urpc6tNnHo/neVkulHgZd9gIiUBfu4f/2u1Ywhb8r8Qb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3WmcUAAADaAAAADwAAAAAAAAAA&#10;AAAAAAChAgAAZHJzL2Rvd25yZXYueG1sUEsFBgAAAAAEAAQA+QAAAJMDAAAAAA==&#10;" strokecolor="#ed7d31" strokeweight=".5pt">
                                    <v:stroke endarrow="block" joinstyle="miter"/>
                                  </v:shape>
                                </v:group>
                              </w:pict>
                            </mc:Fallback>
                          </mc:AlternateContent>
                        </w:r>
                      </w:p>
                    </w:sdtContent>
                  </w:sdt>
                </w:tc>
              </w:tr>
              <w:tr w:rsidR="00C4211A" w:rsidTr="00400B3C">
                <w:trPr>
                  <w:jc w:val="center"/>
                </w:trPr>
                <w:tc>
                  <w:tcPr>
                    <w:tcW w:w="7764" w:type="dxa"/>
                    <w:gridSpan w:val="3"/>
                  </w:tcPr>
                  <w:sdt>
                    <w:sdtPr>
                      <w:tag w:val="goog_rdk_20"/>
                      <w:id w:val="1909801806"/>
                    </w:sdtPr>
                    <w:sdtEndPr/>
                    <w:sdtContent>
                      <w:p w:rsidR="00C4211A" w:rsidRDefault="00C4211A" w:rsidP="00C4211A">
                        <w:pPr>
                          <w:pBdr>
                            <w:top w:val="nil"/>
                            <w:left w:val="nil"/>
                            <w:bottom w:val="nil"/>
                            <w:right w:val="nil"/>
                            <w:between w:val="nil"/>
                          </w:pBdr>
                          <w:spacing w:before="120" w:after="0" w:line="240" w:lineRule="auto"/>
                          <w:ind w:left="-30"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Pr="00C478A7">
                          <w:rPr>
                            <w:rFonts w:ascii="Times New Roman" w:hAnsi="Times New Roman" w:cs="Times New Roman"/>
                          </w:rPr>
                          <w:t>Increasing Complexity of Knowledge and Expertise ICT Literacy</w:t>
                        </w:r>
                      </w:p>
                    </w:sdtContent>
                  </w:sdt>
                </w:tc>
              </w:tr>
            </w:tbl>
            <w:p w:rsidR="00C4211A" w:rsidRDefault="00C4211A" w:rsidP="00C4211A">
              <w:pPr>
                <w:pStyle w:val="ListParagraph"/>
                <w:autoSpaceDE w:val="0"/>
                <w:autoSpaceDN w:val="0"/>
                <w:adjustRightInd w:val="0"/>
                <w:spacing w:after="0" w:line="240" w:lineRule="auto"/>
                <w:ind w:left="0" w:firstLine="270"/>
                <w:jc w:val="both"/>
                <w:rPr>
                  <w:rFonts w:ascii="Times New Roman" w:eastAsia="Times New Roman" w:hAnsi="Times New Roman" w:cs="Times New Roman"/>
                  <w:i/>
                </w:rPr>
              </w:pPr>
            </w:p>
            <w:p w:rsidR="00C4211A" w:rsidRPr="00C478A7" w:rsidRDefault="00C4211A" w:rsidP="00C4211A">
              <w:pPr>
                <w:spacing w:after="0" w:line="240" w:lineRule="auto"/>
                <w:ind w:firstLine="270"/>
                <w:jc w:val="both"/>
                <w:rPr>
                  <w:rFonts w:ascii="Times New Roman" w:hAnsi="Times New Roman" w:cs="Times New Roman"/>
                </w:rPr>
              </w:pPr>
              <w:r w:rsidRPr="00C478A7">
                <w:rPr>
                  <w:rFonts w:ascii="Times New Roman" w:hAnsi="Times New Roman" w:cs="Times New Roman"/>
                </w:rPr>
                <w:t xml:space="preserve">The stage of component in the formation of technology literacy represents a set of skills and knowledge presented in sequence. The sequence shows a gradual increase in cognitive complexity. Each stage has a significant role, the first stage is access: knowing about how to collect and obtain information; manage: implement the organization and manage it using a scheme as well as file data and information that has been obtained previously; Integration: interpreting information consisting of analyzing and searching from various other sources and comparing that information; evaluate; make judgments about the quality, relevance, usefulness and efficiency of information; make: this stage is the final stage, namely adapting, applying, designing, creating from the information that has been obtained and analyzed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"ISBN" : "7094", "abstract" : "In January 2001, Educational Testing Service (ETS) convened an international panel to study the growing importance of existing and emerging Information and Communication Technologies (ICT) and their relationship to literacy. The panel was made up of experts ...", "author" : [ { "dropping-particle" : "", "family" : "(ETS)", "given" : "Education Testing Service", "non-dropping-particle" : "", "parse-names" : false, "suffix" : "" } ], "container-title" : "Educational Testing", "id" : "ITEM-1", "issued" : { "date-parts" : [ [ "2007" ] ] }, "title" : "Digital Transformation: A Framework for ICT Literacy. A Report of the International ICT Literacy Panel", "type" : "report" }, "uris" : [ "http://www.mendeley.com/documents/?uuid=d327bbdb-ab30-4ca8-8159-f3279d83cb30" ] } ], "mendeley" : { "formattedCitation" : "[25]", "plainTextFormattedCitation" : "[25]", "previouslyFormattedCitation" : "[25]"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[25]</w:t>
              </w:r>
              <w:r w:rsidRPr="00C478A7">
                <w:rPr>
                  <w:rFonts w:ascii="Times New Roman" w:hAnsi="Times New Roman" w:cs="Times New Roman"/>
                </w:rPr>
                <w:fldChar w:fldCharType="end"/>
              </w:r>
              <w:r w:rsidRPr="00C478A7">
                <w:rPr>
                  <w:rFonts w:ascii="Times New Roman" w:hAnsi="Times New Roman" w:cs="Times New Roman"/>
                </w:rPr>
                <w:t xml:space="preserve">. </w:t>
              </w:r>
            </w:p>
            <w:p w:rsidR="00C4211A" w:rsidRDefault="00C4211A" w:rsidP="00C4211A">
              <w:pPr>
                <w:pStyle w:val="ListParagraph"/>
                <w:autoSpaceDE w:val="0"/>
                <w:autoSpaceDN w:val="0"/>
                <w:adjustRightInd w:val="0"/>
                <w:spacing w:after="0" w:line="240" w:lineRule="auto"/>
                <w:ind w:left="0" w:firstLine="270"/>
                <w:jc w:val="both"/>
                <w:rPr>
                  <w:rFonts w:ascii="Times New Roman" w:eastAsia="Times New Roman" w:hAnsi="Times New Roman" w:cs="Times New Roman"/>
                  <w:i/>
                </w:rPr>
              </w:pPr>
              <w:r w:rsidRPr="00C478A7">
                <w:rPr>
                  <w:rFonts w:ascii="Times New Roman" w:eastAsia="Times New Roman" w:hAnsi="Times New Roman" w:cs="Times New Roman"/>
                </w:rPr>
                <w:t xml:space="preserve">In a global understanding, technology literacy is an understanding of technology at a level that allows effective use in modern technology which consists of three main components, namely knowledge, </w:t>
              </w:r>
              <w:r w:rsidRPr="00C478A7">
                <w:rPr>
                  <w:rFonts w:ascii="Times New Roman" w:eastAsia="Times New Roman" w:hAnsi="Times New Roman" w:cs="Times New Roman"/>
                </w:rPr>
                <w:lastRenderedPageBreak/>
                <w:t xml:space="preserve">abilities and critical thinking, and decision making </w:t>
              </w:r>
              <w:r w:rsidRPr="00C478A7">
                <w:rPr>
                  <w:rFonts w:ascii="Times New Roman" w:eastAsia="Times New Roman" w:hAnsi="Times New Roman" w:cs="Times New Roman"/>
                </w:rPr>
                <w:fldChar w:fldCharType="begin" w:fldLock="1"/>
              </w:r>
              <w:r w:rsidRPr="00C478A7">
                <w:rPr>
                  <w:rFonts w:ascii="Times New Roman" w:eastAsia="Times New Roman" w:hAnsi="Times New Roman" w:cs="Times New Roman"/>
                </w:rPr>
                <w:instrText>ADDIN CSL_CITATION { "citationItems" : [ { "id" : "ITEM-1", "itemData" : { "DOI" : "10.17226/11709", "ISBN" : "978-0-309-10246-9", "author" : [ { "dropping-particle" : "", "family" : "Schools", "given" : "High", "non-dropping-particle" : "", "parse-names" : false, "suffix" : "" } ], "id" : "ITEM-1", "issued" : { "date-parts" : [ [ "2006" ] ] }, "title" : "ICT Fluency and High Schools", "type" : "book" }, "uris" : [ "http://www.mendeley.com/documents/?uuid=5d54fb52-6f84-49d5-ab43-f9c6f7d8c8e5" ] } ], "mendeley" : { "formattedCitation" : "[24]", "plainTextFormattedCitation" : "[24]", "previouslyFormattedCitation" : "[24]" }, "properties" : { "noteIndex" : 0 }, "schema" : "https://github.com/citation-style-language/schema/raw/master/csl-citation.json" }</w:instrText>
              </w:r>
              <w:r w:rsidRPr="00C478A7">
                <w:rPr>
                  <w:rFonts w:ascii="Times New Roman" w:eastAsia="Times New Roman" w:hAnsi="Times New Roman" w:cs="Times New Roman"/>
                </w:rPr>
                <w:fldChar w:fldCharType="separate"/>
              </w:r>
              <w:r w:rsidRPr="00C478A7">
                <w:rPr>
                  <w:rFonts w:ascii="Times New Roman" w:eastAsia="Times New Roman" w:hAnsi="Times New Roman" w:cs="Times New Roman"/>
                  <w:noProof/>
                </w:rPr>
                <w:t>[24]</w:t>
              </w:r>
              <w:r w:rsidRPr="00C478A7">
                <w:rPr>
                  <w:rFonts w:ascii="Times New Roman" w:eastAsia="Times New Roman" w:hAnsi="Times New Roman" w:cs="Times New Roman"/>
                </w:rPr>
                <w:fldChar w:fldCharType="end"/>
              </w:r>
              <w:r w:rsidRPr="00C478A7">
                <w:rPr>
                  <w:rFonts w:ascii="Times New Roman" w:eastAsia="Times New Roman" w:hAnsi="Times New Roman" w:cs="Times New Roman"/>
                  <w:lang w:val="id-ID"/>
                </w:rPr>
                <w:t>.</w:t>
              </w:r>
              <w:r w:rsidRPr="00C478A7">
                <w:rPr>
                  <w:rFonts w:ascii="Times New Roman" w:eastAsia="Times New Roman" w:hAnsi="Times New Roman" w:cs="Times New Roman"/>
                  <w:iCs/>
                  <w:bdr w:val="none" w:sz="0" w:space="0" w:color="auto" w:frame="1"/>
                </w:rPr>
                <w:t xml:space="preserve"> </w:t>
              </w:r>
              <w:r w:rsidRPr="00C478A7">
                <w:rPr>
                  <w:rStyle w:val="a2"/>
                  <w:rFonts w:ascii="Times New Roman" w:hAnsi="Times New Roman" w:cs="Times New Roman"/>
                  <w:bdr w:val="none" w:sz="0" w:space="0" w:color="auto" w:frame="1"/>
                  <w:shd w:val="clear" w:color="auto" w:fill="FFFFFF"/>
                </w:rPr>
                <w:t>Technology literacy can be interpreted as an ability consisting of aspects of science, critical thinking skills, and decision making in an effort to use technology / innovations of human works effectively, especially in the world of education. In this 21st century learning, teachers are required to be able to use internet access or online teaching materials</w:t>
              </w:r>
              <w:r w:rsidRPr="00C478A7">
                <w:rPr>
                  <w:rFonts w:ascii="Times New Roman" w:hAnsi="Times New Roman" w:cs="Times New Roman"/>
                </w:rPr>
                <w:t xml:space="preserve">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"uris" : [ "http://www.mendeley.com/documents/?uuid=23ff2e59-38a8-48ba-804f-27f6afa07ee4" ] } ], "mendeley" : { "formattedCitation" : "[11]", "plainTextFormattedCitation" : "[11]", "previouslyFormattedCitation" : "[11]"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[11]</w:t>
              </w:r>
              <w:r w:rsidRPr="00C478A7">
                <w:rPr>
                  <w:rFonts w:ascii="Times New Roman" w:hAnsi="Times New Roman" w:cs="Times New Roman"/>
                </w:rPr>
                <w:fldChar w:fldCharType="end"/>
              </w:r>
              <w:r w:rsidRPr="00C478A7">
                <w:rPr>
                  <w:rFonts w:ascii="Times New Roman" w:hAnsi="Times New Roman" w:cs="Times New Roman"/>
                </w:rPr>
                <w:t xml:space="preserve">. In addition to being able to use ICT as a source of learning, teachers are also required to be able to create creative and innovative learning that is integrated with ICT (Information and communication technology)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"DOI" : "10.21890/ijres.23596", "abstract" : "Integration of Information, Communication, and Technology (ICT) will assist teachers to the global requirement to replace traditional teaching methods with a technology-based teaching and learning tools and facilities. In Malaysia, ICT is considered as one of the main elements in transforming the country to the future development. The Ministry of Education, through the latest Education Blue print (2013-2025), insights the importance of technology-based teaching and learning into the schools' national curriculum. This study aims to analyze teachers' perceptions on effectiveness of ICT integration to support teaching and learning process in classroom. A survey questionnaire was distributed randomly to the total of 101 teachers from 10 public secondary schools in Kuala Lumpur, Malaysia. The data for this quantitative research were analyzed for both descriptive and inferential statistic using SPSS (version 21) software. The results indicate that ICT integration has a great effectiveness for both teachers and the students. Findings indicate that teachers' well-equipped preparation with ICT tools and facilities is one the main factors in success of technology-based teaching and learning. . It was also found that professional development training programs for teachers also played a key role in enhancing students' quality learning. For the future studies, there is a need for consideration of other aspects of ICT integration especially from management point of view in regard to strategic planning and policy making.", "author" : [ { "dropping-particle" : "", "family" : "Ghavifekr", "given" : "Simin", "non-dropping-particle" : "", "parse-names" : false, "suffix" : "" }, { "dropping-particle" : "", "family" : "Rosdy", "given" : "Wan Athirah Wan", "non-dropping-particle" : "", "parse-names" : false, "suffix" : "" } ], "container-title" : "International Journal of Research in Education and Science", "id" : "ITEM-1", "issue" : "2", "issued" : { "date-parts" : [ [ "2016" ] ] }, "page" : "175", "title" : "Teaching and Learning with Technology: Effectiveness of ICT Integration in Schools", "type" : "article-journal", "volume" : "1" }, "uris" : [ "http://www.mendeley.com/documents/?uuid=9faa3c83-809a-4bd0-b1d2-e34404ba8751" ] } ], "mendeley" : { "formattedCitation" : "[26]", "plainTextFormattedCitation" : "[26]", "previouslyFormattedCitation" : "[26]"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[26]</w:t>
              </w:r>
              <w:r w:rsidRPr="00C478A7">
                <w:rPr>
                  <w:rFonts w:ascii="Times New Roman" w:hAnsi="Times New Roman" w:cs="Times New Roman"/>
                </w:rPr>
                <w:fldChar w:fldCharType="end"/>
              </w:r>
              <w:r w:rsidRPr="00C478A7">
                <w:rPr>
                  <w:rFonts w:ascii="Times New Roman" w:hAnsi="Times New Roman" w:cs="Times New Roman"/>
                </w:rPr>
                <w:t>.</w:t>
              </w:r>
            </w:p>
          </w:sdtContent>
        </w:sdt>
        <w:p w:rsidR="00C4211A" w:rsidRDefault="00C4211A">
          <w:pPr>
            <w:spacing w:after="0"/>
            <w:jc w:val="both"/>
            <w:rPr>
              <w:rFonts w:ascii="Times New Roman" w:eastAsia="Times New Roman" w:hAnsi="Times New Roman" w:cs="Times New Roman"/>
              <w:i/>
            </w:rPr>
          </w:pPr>
        </w:p>
        <w:p w:rsidR="00C4211A" w:rsidRDefault="00BA78DA" w:rsidP="00C4211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sdt>
            <w:sdtPr>
              <w:tag w:val="goog_rdk_45"/>
              <w:id w:val="-1133482764"/>
            </w:sdtPr>
            <w:sdtEndPr/>
            <w:sdtContent>
              <w:r w:rsidR="00C4211A">
                <w:rPr>
                  <w:rFonts w:ascii="Times New Roman" w:eastAsia="Times New Roman" w:hAnsi="Times New Roman" w:cs="Times New Roman"/>
                  <w:i/>
                </w:rPr>
                <w:t xml:space="preserve">3.4. </w:t>
              </w:r>
              <w:r w:rsidR="00C4211A">
                <w:rPr>
                  <w:rFonts w:ascii="Times New Roman" w:hAnsi="Times New Roman" w:cs="Times New Roman"/>
                  <w:i/>
                </w:rPr>
                <w:t>Technology Integration</w:t>
              </w:r>
            </w:sdtContent>
          </w:sdt>
        </w:p>
        <w:sdt>
          <w:sdtPr>
            <w:tag w:val="goog_rdk_46"/>
            <w:id w:val="847137874"/>
          </w:sdtPr>
          <w:sdtEndPr/>
          <w:sdtContent>
            <w:p w:rsidR="00C4211A" w:rsidRPr="00C478A7" w:rsidRDefault="00C4211A" w:rsidP="00C4211A">
              <w:pPr>
                <w:shd w:val="clear" w:color="auto" w:fill="FFFFFF"/>
                <w:spacing w:after="0" w:line="240" w:lineRule="auto"/>
                <w:jc w:val="both"/>
                <w:rPr>
                  <w:rFonts w:ascii="Times New Roman" w:eastAsia="Times New Roman" w:hAnsi="Times New Roman" w:cs="Times New Roman"/>
                </w:rPr>
              </w:pPr>
              <w:r w:rsidRPr="00C478A7">
                <w:rPr>
                  <w:rFonts w:ascii="Times New Roman" w:eastAsia="Times New Roman" w:hAnsi="Times New Roman" w:cs="Times New Roman"/>
                  <w:bdr w:val="none" w:sz="0" w:space="0" w:color="auto" w:frame="1"/>
                </w:rPr>
                <w:t xml:space="preserve">The 21st century learning process, which integrates information and communication technology as a tool in an effort to achieve learning process that prioritizes 21st century skills and abilities that must be possessed by students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"abstract" : "The \u201c21st Century Skills\u201d movement is more than a decade old. Yet, educators still pose important questions about how to move 21st century education forward. NEA has been an advocate of the 21st century education movement from its inception and wants to empower educators to move it forward in their own practice. Ten years ago, NEA helped establish the Partnership for 21st Century Skills (P21) and in 2002 began a two-year journey to develop what became known as a \u201cFramework for 21st Century Learning,\u201d highlighting 18 different skills. In the last eight years, 16 states joined P21 and agreed to build 21st century outcomes into their standards, professional development, and assessments. Over the years it became clear that the framework was too long and complicated. To resolve this issue, we interviewed leaders of all kinds to determine which of the 21st century skills were the most important for K-12 education. There was near unanimity that four specific skills were the most important. They became known as the \u201cFour Cs\u201d\u2014 critical thinking, communication, collaboration, and creativity.", "author" : [ { "dropping-particle" : "", "family" : "National Education Association", "given" : "", "non-dropping-particle" : "", "parse-names" : false, "suffix" : "" } ], "id" : "ITEM-1", "issued" : { "date-parts" : [ [ "2014" ] ] }, "page" : "1-38", "title" : "Preparing 21st Century Students for a Global Society: An Educator \u2019 s Guide to the \u201c Four Cs \u201d", "type" : "article-journal" }, "uris" : [ "http://www.mendeley.com/documents/?uuid=23ff2e59-38a8-48ba-804f-27f6afa07ee4" ] } ], "mendeley" : { "formattedCitation" : "[11]", "plainTextFormattedCitation" : "[11]", "previouslyFormattedCitation" : "[11]"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[11]</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t xml:space="preserve">. </w:t>
              </w:r>
              <w:r w:rsidRPr="00C478A7">
                <w:rPr>
                  <w:rFonts w:ascii="Times New Roman" w:hAnsi="Times New Roman" w:cs="Times New Roman"/>
                </w:rPr>
                <w:t xml:space="preserve">Information and Communication Technology (ICT) has become the most fundamental requirement of modern industrial society in a very short time. The mastery and integration of ICT in the learning process is an advantage possessed by a teacher </w:t>
              </w:r>
              <w:r w:rsidRPr="00C478A7">
                <w:rPr>
                  <w:rFonts w:ascii="Times New Roman" w:hAnsi="Times New Roman" w:cs="Times New Roman"/>
                </w:rPr>
                <w:fldChar w:fldCharType="begin" w:fldLock="1"/>
              </w:r>
              <w:r w:rsidRPr="00C478A7">
                <w:rPr>
                  <w:rFonts w:ascii="Times New Roman" w:hAnsi="Times New Roman" w:cs="Times New Roman"/>
                </w:rPr>
                <w:instrText>ADDIN CSL_CITATION { "citationItems" : [ { "id" : "ITEM-1", "itemData" : { "author" : [ { "dropping-particle" : "", "family" : "Rampersad", "given" : "Caty-Ann", "non-dropping-particle" : "", "parse-names" : false, "suffix" : "" } ], "id" : "ITEM-1", "issued" : { "date-parts" : [ [ "2011" ] ] }, "title" : "Teachers \u2019 Perceptions of the Contribution of Teaching of Modern Studies , Using an Integrated", "type" : "article-journal" }, "uris" : [ "http://www.mendeley.com/documents/?uuid=15c1bb38-3f4c-4da1-af3d-94c6e19baff1" ] } ], "mendeley" : { "formattedCitation" : "[27]", "plainTextFormattedCitation" : "[27]", "previouslyFormattedCitation" : "[27]" }, "properties" : { "noteIndex" : 0 }, "schema" : "https://github.com/citation-style-language/schema/raw/master/csl-citation.json" }</w:instrText>
              </w:r>
              <w:r w:rsidRPr="00C478A7">
                <w:rPr>
                  <w:rFonts w:ascii="Times New Roman" w:hAnsi="Times New Roman" w:cs="Times New Roman"/>
                </w:rPr>
                <w:fldChar w:fldCharType="separate"/>
              </w:r>
              <w:r w:rsidRPr="00C478A7">
                <w:rPr>
                  <w:rFonts w:ascii="Times New Roman" w:hAnsi="Times New Roman" w:cs="Times New Roman"/>
                  <w:noProof/>
                </w:rPr>
                <w:t>[27]</w:t>
              </w:r>
              <w:r w:rsidRPr="00C478A7">
                <w:rPr>
                  <w:rFonts w:ascii="Times New Roman" w:hAnsi="Times New Roman" w:cs="Times New Roman"/>
                </w:rPr>
                <w:fldChar w:fldCharType="end"/>
              </w:r>
              <w:r w:rsidRPr="00C478A7">
                <w:rPr>
                  <w:rFonts w:ascii="Times New Roman" w:hAnsi="Times New Roman" w:cs="Times New Roman"/>
                </w:rPr>
                <w:t>.</w:t>
              </w:r>
              <w:r w:rsidRPr="00C478A7">
                <w:rPr>
                  <w:rFonts w:ascii="Times New Roman" w:hAnsi="Times New Roman" w:cs="Times New Roman"/>
                  <w:shd w:val="clear" w:color="auto" w:fill="F8F9FA"/>
                </w:rPr>
                <w:t xml:space="preserve"> </w:t>
              </w:r>
              <w:r w:rsidRPr="00C478A7">
                <w:rPr>
                  <w:rFonts w:ascii="Times New Roman" w:eastAsia="Times New Roman" w:hAnsi="Times New Roman" w:cs="Times New Roman"/>
                  <w:bdr w:val="none" w:sz="0" w:space="0" w:color="auto" w:frame="1"/>
                </w:rPr>
                <w:t xml:space="preserve">Information technology-based technology tools or applications support student activities in the learning process to achieve 21st century skills such as creativity, innovation, communication, collaboration, information and media literacy, and so on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"abstract" : "This chapter aims to help preservice teachers consider the possibilities for embedding technology into\\rteaching. After reading this chapter you should be able to: 1. Understand the role of technology in education.\\r2. Identify technological applications and resources used in classrooms today. 3. Be aware of how you might\\rembed technology through a range of teaching and learning strategies. 4. Evaluate technological tools to\\rsupport teaching and learning. 5. Understand possible challenges and barriers you may face as a new teacher\\rusing technology", "author" : [ { "dropping-particle" : "", "family" : "Eady", "given" : "Michelle J.", "non-dropping-particle" : "", "parse-names" : false, "suffix" : "" }, { "dropping-particle" : "", "family" : "Lockyer", "given" : "Lori", "non-dropping-particle" : "", "parse-names" : false, "suffix" : "" } ], "container-title" : "Learning to Teach in the Primary School", "id" : "ITEM-1", "issued" : { "date-parts" : [ [ "2013" ] ] }, "page" : "71", "title" : "Tools for learning: technology and teaching strategies", "type" : "article-journal" }, "uris" : [ "http://www.mendeley.com/documents/?uuid=5ebbcdb5-ace7-4e38-9f3f-bb83127b76d0" ] } ], "mendeley" : { "formattedCitation" : "[28]", "plainTextFormattedCitation" : "[28]", "previouslyFormattedCitation" : "[28]"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[28]</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"DOI" : "10.1111/j.1467-8535.2006.00602_10.x", "ISSN" : "0007-1013", "abstract" : "21 st century learners arrive at school with technological knowledge and skills that necessitate the need for educational systems to transform instructional practices to meet learners' needs. The International Society for Technology in Education (ISTE) developed ISTE Standards for students, teachers, administrators, coaches, and computer science educators that define best practices and standards of excellence with technology. Literacy educators are greatly impacted by the technological shift in education and require a deep level of proficiency with the ISTE Standards for Teachers. The purpose of this article is to provide an overview of the ISTE Standards for Teachers and provide literacy educators with an evaluative tool to measure their adeptness with the knowledge and skills needed to teach in the digital age.", "author" : [ { "dropping-particle" : "", "family" : "Mason", "given" : "Robin", "non-dropping-particle" : "", "parse-names" : false, "suffix" : "" } ], "container-title" : "British Journal of Educational Technology", "id" : "ITEM-1", "issue" : "2", "issued" : { "date-parts" : [ [ "2006" ] ] }, "page" : "315-315", "title" : "Literacy in the digital age", "type" : "article-journal", "volume" : "37" }, "uris" : [ "http://www.mendeley.com/documents/?uuid=b94c0639-4ef0-4b7f-abad-8e656bf0e0f1" ] } ], "mendeley" : { "formattedCitation" : "[29]", "plainTextFormattedCitation" : "[29]", "previouslyFormattedCitation" : "[29]"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[29]</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t>.</w:t>
              </w:r>
            </w:p>
            <w:p w:rsidR="00C4211A" w:rsidRDefault="00C4211A" w:rsidP="00C4211A">
              <w:pPr>
                <w:pStyle w:val="ListParagraph"/>
                <w:autoSpaceDE w:val="0"/>
                <w:autoSpaceDN w:val="0"/>
                <w:adjustRightInd w:val="0"/>
                <w:spacing w:after="0" w:line="240" w:lineRule="auto"/>
                <w:ind w:left="0" w:firstLine="360"/>
                <w:jc w:val="both"/>
                <w:rPr>
                  <w:rFonts w:ascii="Times New Roman" w:eastAsia="Times New Roman" w:hAnsi="Times New Roman" w:cs="Times New Roman"/>
                  <w:i/>
                </w:rPr>
              </w:pPr>
              <w:r w:rsidRPr="00C478A7">
                <w:rPr>
                  <w:rFonts w:ascii="Times New Roman" w:eastAsia="Times New Roman" w:hAnsi="Times New Roman" w:cs="Times New Roman"/>
                  <w:bdr w:val="none" w:sz="0" w:space="0" w:color="auto" w:frame="1"/>
                </w:rPr>
                <w:t xml:space="preserve">In the implementation of learning, ICT tools can be used as a means to enhance student creativity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"DOI" : "10.21890/ijres.23596", "abstract" : "Integration of Information, Communication, and Technology (ICT) will assist teachers to the global requirement to replace traditional teaching methods with a technology-based teaching and learning tools and facilities. In Malaysia, ICT is considered as one of the main elements in transforming the country to the future development. The Ministry of Education, through the latest Education Blue print (2013-2025), insights the importance of technology-based teaching and learning into the schools' national curriculum. This study aims to analyze teachers' perceptions on effectiveness of ICT integration to support teaching and learning process in classroom. A survey questionnaire was distributed randomly to the total of 101 teachers from 10 public secondary schools in Kuala Lumpur, Malaysia. The data for this quantitative research were analyzed for both descriptive and inferential statistic using SPSS (version 21) software. The results indicate that ICT integration has a great effectiveness for both teachers and the students. Findings indicate that teachers' well-equipped preparation with ICT tools and facilities is one the main factors in success of technology-based teaching and learning. . It was also found that professional development training programs for teachers also played a key role in enhancing students' quality learning. For the future studies, there is a need for consideration of other aspects of ICT integration especially from management point of view in regard to strategic planning and policy making.", "author" : [ { "dropping-particle" : "", "family" : "Ghavifekr", "given" : "Simin", "non-dropping-particle" : "", "parse-names" : false, "suffix" : "" }, { "dropping-particle" : "", "family" : "Rosdy", "given" : "Wan Athirah Wan", "non-dropping-particle" : "", "parse-names" : false, "suffix" : "" } ], "container-title" : "International Journal of Research in Education and Science", "id" : "ITEM-1", "issue" : "2", "issued" : { "date-parts" : [ [ "2016" ] ] }, "page" : "175", "title" : "Teaching and Learning with Technology: Effectiveness of ICT Integration in Schools", "type" : "article-journal", "volume" : "1" }, "uris" : [ "http://www.mendeley.com/documents/?uuid=9faa3c83-809a-4bd0-b1d2-e34404ba8751" ] } ], "mendeley" : { "formattedCitation" : "[26]", "plainTextFormattedCitation" : "[26]", "previouslyFormattedCitation" : "[26]"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[26]</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t xml:space="preserve">. Students can utilize information and communication technology facilities or computer applications in their learning activities such as Internet technology which can be used by students as learning resources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"DOI" : "10.18502/kss.v3i11.4010", "abstract" : "Students majoring in accounting education should be equipped not only with the contents of subject matters but also the pedagogy skills. Previous studies show that there is still a significant gap between student\u2019s teaching competencies prepared by the university and the teaching competencies required by the schools. Current development in technology changes the way students learn and teachers teach as students and teachers can easily acquire new knowledge and skills through the use of technology. The study aims at identifying the influence of technology literacy and technology integration on the students\u2019 teaching competencies. It employs quantitative approach and collects data from students majoring in accounting education\u2014both regular and international classes. By using random sampling technique and Likert-type questionnaire with five scales, the study collected 86 data from respondents. The results of regression analysis show that that technology literacy and technology integration have a significant influence on students\u2019 teaching competencies. The determination coefficient reaches the percentage of 32.8%, meaning that the competency of student to teach is determined 32% by both the independent variables. The faculty should provide more facilitation to students majoring in accounting education to ensure that they can improve their technology literacy. Faculty also should provide more technology facilities to the students and lecturers to enable them to catch up with technology advancements. Future research should provide more comprehensive model by including other variables having potentials to contribute to students\u2019 teaching competencies.", "author" : [ { "dropping-particle" : "", "family" : "Santoso", "given" : "Arif", "non-dropping-particle" : "", "parse-names" : false, "suffix" : "" }, { "dropping-particle" : "", "family" : "Lestari", "given" : "Sari", "non-dropping-particle" : "", "parse-names" : false, "suffix" : "" } ], "container-title" : "The Roles of Technology Literacy and Technology Integration to Improve Students \u2019 Teaching Competencies", "id" : "ITEM-1", "issued" : { "date-parts" : [ [ "2019" ] ] }, "page" : "243-256", "title" : "The Roles of Technology Literacy and Technology Integration to Improve Students \u2019 Teaching Competencies", "type" : "article-journal", "volume" : "2019" }, "uris" : [ "http://www.mendeley.com/documents/?uuid=bf410cd8-a4d2-403c-aaf9-888963a8b6b7" ] } ], "mendeley" : { "formattedCitation" : "[30]", "plainTextFormattedCitation" : "[30]", "previouslyFormattedCitation" : "[30]"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[30]</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t xml:space="preserve">. By using internet technology, students can access learning resources on the internet by utilizing web pages that provide information needed by students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"abstract" : "This study investigates the effectiveness of using e-learning in teaching in tertiary institutions. In institutions of higher education, the issue of utilizing modern information and communication technologies for teaching and learning is very important. This study reviews literature and gives a scholarly background to the study by reviewing some contributions made by various researchers and institutions on the concept of e-learning, particularly its usage in teaching and learning in higher educational institutions. It unveils some views that people and institutions have shared globally on the adoption and integration of e-learning technologies in education through surveys and other observations. It looks at the meaning or definitions of e-learning as given by different researchers and the role that e-learning plays in higher educational institutions in relation to teaching and learning processes, and the advantages and disadvantages of its adoption and implementation.", "author" : [ { "dropping-particle" : "", "family" : "Arkorful", "given" : "Valentina", "non-dropping-particle" : "", "parse-names" : false, "suffix" : "" }, { "dropping-particle" : "", "family" : "Abaidoo", "given" : "Nelly", "non-dropping-particle" : "", "parse-names" : false, "suffix" : "" } ], "container-title" : "International Journal of Instructional Technology and Distance Learning", "id" : "ITEM-1", "issue" : "1", "issued" : { "date-parts" : [ [ "2015" ] ] }, "page" : "29-42", "title" : "The role of e-learning, advantages and disadvantages of its adoption in higher education", "type" : "article-journal", "volume" : "12" }, "uris" : [ "http://www.mendeley.com/documents/?uuid=69b0a71e-6988-4897-b2d7-bb428df34781" ] } ], "mendeley" : { "formattedCitation" : "[31]", "plainTextFormattedCitation" : "[31]", "previouslyFormattedCitation" : "[31]"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[31]</w:t>
              </w:r>
              <w:r w:rsidRPr="00C478A7">
                <w:rPr>
                  <w:rFonts w:ascii="Times New Roman" w:eastAsia="Times New Roman" w:hAnsi="Times New Roman" w:cs="Times New Roman"/>
                  <w:bdr w:val="none" w:sz="0" w:space="0" w:color="auto" w:frame="1"/>
                </w:rPr>
                <w:fldChar w:fldCharType="end"/>
              </w:r>
              <w:r w:rsidRPr="00C478A7">
                <w:rPr>
                  <w:rFonts w:ascii="Times New Roman" w:eastAsia="Times New Roman" w:hAnsi="Times New Roman" w:cs="Times New Roman"/>
                  <w:bdr w:val="none" w:sz="0" w:space="0" w:color="auto" w:frame="1"/>
                </w:rPr>
                <w:t xml:space="preserve">. With internet technology, students can access various information needed relevant with the learning material discussed in learning at school, thus training students' independence in finding information needs and increasing student creativity in gathering information from various sources that can be used as learning sources </w:t>
              </w:r>
              <w:r w:rsidRPr="00C478A7">
                <w:rPr>
                  <w:rFonts w:ascii="Times New Roman" w:eastAsia="Times New Roman" w:hAnsi="Times New Roman" w:cs="Times New Roman"/>
                  <w:bdr w:val="none" w:sz="0" w:space="0" w:color="auto" w:frame="1"/>
                </w:rPr>
                <w:fldChar w:fldCharType="begin" w:fldLock="1"/>
              </w:r>
              <w:r w:rsidRPr="00C478A7">
                <w:rPr>
                  <w:rFonts w:ascii="Times New Roman" w:eastAsia="Times New Roman" w:hAnsi="Times New Roman" w:cs="Times New Roman"/>
                  <w:bdr w:val="none" w:sz="0" w:space="0" w:color="auto" w:frame="1"/>
                </w:rPr>
                <w:instrText>ADDIN CSL_CITATION { "citationItems" : [ { "id" : "ITEM-1", "itemData" : { "DOI" : "10.21890/ijres.23596", "abstract" : "Integration of Information, Communication, and Technology (ICT) will assist teachers to the global requirement to replace traditional teaching methods with a technology-based teaching and learning tools and facilities. In Malaysia, ICT is considered as one of the main elements in transforming the country to the future development. The Ministry of Education, through the latest Education Blue print (2013-2025), insights the importance of technology-based teaching and learning into the schools' national curriculum. This study aims to analyze teachers' perceptions on effectiveness of ICT integration to support teaching and learning process in classroom. A survey questionnaire was distributed randomly to the total of 101 teachers from 10 public secondary schools in Kuala Lumpur, Malaysia. The data for this quantitative research were analyzed for both descriptive and inferential statistic using SPSS (version 21) software. The results indicate that ICT integration has a great effectiveness for both teachers and the students. Findings indicate that teachers' well-equipped preparation with ICT tools and facilities is one the main factors in success of technology-based teaching and learning. . It was also found that professional development training programs for teachers also played a key role in enhancing students' quality learning. For the future studies, there is a need for consideration of other aspects of ICT integration especially from management point of view in regard to strategic planning and policy making.", "author" : [ { "dropping-particle" : "", "family" : "Ghavifekr", "given" : "Simin", "non-dropping-particle" : "", "parse-names" : false, "suffix" : "" }, { "dropping-particle" : "", "family" : "Rosdy", "given" : "Wan Athirah Wan", "non-dropping-particle" : "", "parse-names" : false, "suffix" : "" } ], "container-title" : "International Journal of Research in Education and Science", "id" : "ITEM-1", "issue" : "2", "issued" : { "date-parts" : [ [ "2016" ] ] }, "page" : "175", "title" : "Teaching and Learning with Technology: Effectiveness of ICT Integration in Schools", "type" : "article-journal", "volume" : "1" }, "uris" : [ "http://www.mendeley.com/documents/?uuid=9faa3c83-809a-4bd0-b1d2-e34404ba8751" ] } ], "mendeley" : { "formattedCitation" : "[26]", "plainTextFormattedCitation" : "[26]", "previouslyFormattedCitation" : "[26]" }, "properties" : { "noteIndex" : 0 }, "schema" : "https://github.com/citation-style-language/schema/raw/master/csl-citation.json" }</w:instrText>
              </w:r>
              <w:r w:rsidRPr="00C478A7">
                <w:rPr>
                  <w:rFonts w:ascii="Times New Roman" w:eastAsia="Times New Roman" w:hAnsi="Times New Roman" w:cs="Times New Roman"/>
                  <w:bdr w:val="none" w:sz="0" w:space="0" w:color="auto" w:frame="1"/>
                </w:rPr>
                <w:fldChar w:fldCharType="separate"/>
              </w:r>
              <w:r w:rsidRPr="00C478A7">
                <w:rPr>
                  <w:rFonts w:ascii="Times New Roman" w:eastAsia="Times New Roman" w:hAnsi="Times New Roman" w:cs="Times New Roman"/>
                  <w:noProof/>
                  <w:bdr w:val="none" w:sz="0" w:space="0" w:color="auto" w:frame="1"/>
                </w:rPr>
                <w:t>[26]</w:t>
              </w:r>
              <w:r w:rsidRPr="00C478A7">
                <w:rPr>
                  <w:rFonts w:ascii="Times New Roman" w:eastAsia="Times New Roman" w:hAnsi="Times New Roman" w:cs="Times New Roman"/>
                  <w:bdr w:val="none" w:sz="0" w:space="0" w:color="auto" w:frame="1"/>
                </w:rPr>
                <w:fldChar w:fldCharType="end"/>
              </w:r>
            </w:p>
          </w:sdtContent>
        </w:sdt>
        <w:p w:rsidR="002F079E" w:rsidRDefault="00BA78DA">
          <w:pPr>
            <w:spacing w:after="0"/>
            <w:jc w:val="both"/>
            <w:rPr>
              <w:rFonts w:ascii="Times New Roman" w:eastAsia="Times New Roman" w:hAnsi="Times New Roman" w:cs="Times New Roman"/>
              <w:i/>
            </w:rPr>
          </w:pPr>
        </w:p>
      </w:sdtContent>
    </w:sdt>
    <w:sdt>
      <w:sdtPr>
        <w:tag w:val="goog_rdk_71"/>
        <w:id w:val="-512292774"/>
      </w:sdtPr>
      <w:sdtEndPr/>
      <w:sdtContent>
        <w:p w:rsidR="002F079E" w:rsidRDefault="00C421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sdtContent>
    </w:sdt>
    <w:sdt>
      <w:sdtPr>
        <w:tag w:val="goog_rdk_72"/>
        <w:id w:val="-1423637714"/>
      </w:sdtPr>
      <w:sdtEndPr/>
      <w:sdtContent>
        <w:p w:rsidR="002F079E" w:rsidRDefault="00C4211A">
          <w:pPr>
            <w:spacing w:after="240"/>
            <w:jc w:val="both"/>
            <w:rPr>
              <w:rFonts w:ascii="Times New Roman" w:eastAsia="Times New Roman" w:hAnsi="Times New Roman" w:cs="Times New Roman"/>
              <w:color w:val="000000"/>
            </w:rPr>
          </w:pPr>
          <w:r w:rsidRPr="00C478A7">
            <w:rPr>
              <w:rFonts w:ascii="Times New Roman" w:hAnsi="Times New Roman" w:cs="Times New Roman"/>
            </w:rPr>
            <w:t>The integration of ICT and digital competence are a necessity to be mastered by 21st century teachers. In the industrial revolution 4.0 era as an era of shifting towards digital technology, learning process is not only carried out conventionally but it begins to shift to a technology-based learning process. Industrial Revolution 4.0 provides a change in educational innovation. Industry 4.0 prepares graduates for more complex jobs where smart robots will replace humans in certain divisions of activities. The currently developing Information and Communication Technology which is accessed as one part of 21st century skills and competencies must be possessed by everyone, especially by teachers as educators in schools. By having 21st century skills competencies specifically using information and communication technology can help in developing student learning in an effort to achieve 21st century skills such as communication skills, collaboration, creativity, innovation, independence and so on</w:t>
          </w:r>
          <w:r w:rsidR="00B42C7C">
            <w:rPr>
              <w:rFonts w:ascii="Times New Roman" w:eastAsia="Times New Roman" w:hAnsi="Times New Roman" w:cs="Times New Roman"/>
              <w:color w:val="000000"/>
            </w:rPr>
            <w:t>.</w:t>
          </w:r>
        </w:p>
      </w:sdtContent>
    </w:sdt>
    <w:sdt>
      <w:sdtPr>
        <w:tag w:val="goog_rdk_78"/>
        <w:id w:val="2146158453"/>
      </w:sdtPr>
      <w:sdtEndPr/>
      <w:sdtContent>
        <w:p w:rsidR="002F079E" w:rsidRDefault="00B42C7C">
          <w:pPr>
            <w:spacing w:after="0"/>
            <w:rPr>
              <w:rFonts w:ascii="Times New Roman" w:eastAsia="Times New Roman" w:hAnsi="Times New Roman" w:cs="Times New Roman"/>
              <w:b/>
            </w:rPr>
          </w:pPr>
          <w:r>
            <w:rPr>
              <w:rFonts w:ascii="Times New Roman" w:eastAsia="Times New Roman" w:hAnsi="Times New Roman" w:cs="Times New Roman"/>
              <w:b/>
            </w:rPr>
            <w:t>Acknowledgments</w:t>
          </w:r>
        </w:p>
      </w:sdtContent>
    </w:sdt>
    <w:sdt>
      <w:sdtPr>
        <w:tag w:val="goog_rdk_79"/>
        <w:id w:val="803730964"/>
      </w:sdtPr>
      <w:sdtEndPr/>
      <w:sdtContent>
        <w:p w:rsidR="002F079E" w:rsidRDefault="00C4211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C478A7">
            <w:rPr>
              <w:rFonts w:ascii="Times New Roman" w:hAnsi="Times New Roman" w:cs="Times New Roman"/>
              <w:color w:val="222222"/>
            </w:rPr>
            <w:t xml:space="preserve">The authors are grateful to the Almighty God because of His grace the authors were able to finish writing of the research well. The authors also thank the entire UPI extended family as an institution where the authors take shelter and forge themselves with various knowledge so that they were able to finish writing this paper well and the entire family of the authors who have provided moral support and other forms of great support. The authors also thank the previous researchers who had the same research theme and / or according to the researcher's needs in completing the writing of this research, so that it can help the authors in enriching the research references conducted in this research. The authors hope that there will be benefits from writing this research, especially for vocational education schools and teachers in </w:t>
          </w:r>
          <w:r w:rsidRPr="00C478A7">
            <w:rPr>
              <w:rFonts w:ascii="Times New Roman" w:hAnsi="Times New Roman" w:cs="Times New Roman"/>
              <w:color w:val="222222"/>
            </w:rPr>
            <w:lastRenderedPageBreak/>
            <w:t>preparing for 21st century learning in the industrial era 4.0 which demands all technology in all aspects of education.</w:t>
          </w:r>
          <w:r w:rsidR="00B42C7C">
            <w:rPr>
              <w:rFonts w:ascii="Times New Roman" w:eastAsia="Times New Roman" w:hAnsi="Times New Roman" w:cs="Times New Roman"/>
              <w:color w:val="000000"/>
            </w:rPr>
            <w:t>.</w:t>
          </w:r>
        </w:p>
      </w:sdtContent>
    </w:sdt>
    <w:sdt>
      <w:sdtPr>
        <w:tag w:val="goog_rdk_80"/>
        <w:id w:val="-1088847791"/>
      </w:sdtPr>
      <w:sdtEndPr/>
      <w:sdtContent>
        <w:p w:rsidR="002F079E" w:rsidRDefault="00BA78D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81"/>
        <w:id w:val="-225536351"/>
      </w:sdtPr>
      <w:sdtEndPr/>
      <w:sdtContent>
        <w:p w:rsidR="002F079E" w:rsidRDefault="00B42C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p w:rsidR="00B42C7C" w:rsidRPr="00C478A7" w:rsidRDefault="00B42C7C" w:rsidP="00B42C7C">
      <w:pPr>
        <w:pStyle w:val="NormalWeb"/>
        <w:spacing w:before="0" w:beforeAutospacing="0" w:after="0" w:afterAutospacing="0"/>
        <w:ind w:left="640" w:hanging="640"/>
        <w:jc w:val="both"/>
        <w:rPr>
          <w:noProof/>
          <w:sz w:val="22"/>
          <w:szCs w:val="22"/>
        </w:rPr>
      </w:pPr>
      <w:r w:rsidRPr="00C478A7">
        <w:rPr>
          <w:b/>
          <w:sz w:val="22"/>
          <w:szCs w:val="22"/>
        </w:rPr>
        <w:fldChar w:fldCharType="begin" w:fldLock="1"/>
      </w:r>
      <w:r w:rsidRPr="00C478A7">
        <w:rPr>
          <w:b/>
          <w:sz w:val="22"/>
          <w:szCs w:val="22"/>
        </w:rPr>
        <w:instrText xml:space="preserve">ADDIN Mendeley Bibliography CSL_BIBLIOGRAPHY </w:instrText>
      </w:r>
      <w:r w:rsidRPr="00C478A7">
        <w:rPr>
          <w:b/>
          <w:sz w:val="22"/>
          <w:szCs w:val="22"/>
        </w:rPr>
        <w:fldChar w:fldCharType="separate"/>
      </w:r>
      <w:r w:rsidRPr="00C478A7">
        <w:rPr>
          <w:noProof/>
          <w:sz w:val="22"/>
          <w:szCs w:val="22"/>
        </w:rPr>
        <w:t>[1]</w:t>
      </w:r>
      <w:r w:rsidRPr="00C478A7">
        <w:rPr>
          <w:noProof/>
          <w:sz w:val="22"/>
          <w:szCs w:val="22"/>
        </w:rPr>
        <w:tab/>
        <w:t>L. Bonekamp and M. Sure, “Consequences of Industry 4 . 0 on Human Labour and Work Organisation,” no. 1, pp. 33–40, 2015.</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w:t>
      </w:r>
      <w:r w:rsidRPr="00C478A7">
        <w:rPr>
          <w:noProof/>
          <w:sz w:val="22"/>
          <w:szCs w:val="22"/>
        </w:rPr>
        <w:tab/>
        <w:t xml:space="preserve">K. Zhou, T. Liu, and L. Zhou, “Industry 4.0: Towards future industrial opportunities and challenges,” </w:t>
      </w:r>
      <w:r w:rsidRPr="00C478A7">
        <w:rPr>
          <w:i/>
          <w:iCs/>
          <w:noProof/>
          <w:sz w:val="22"/>
          <w:szCs w:val="22"/>
        </w:rPr>
        <w:t>2015 12th Int. Conf. Fuzzy Syst. Knowl. Discov. FSKD 2015</w:t>
      </w:r>
      <w:r w:rsidRPr="00C478A7">
        <w:rPr>
          <w:noProof/>
          <w:sz w:val="22"/>
          <w:szCs w:val="22"/>
        </w:rPr>
        <w:t>, pp. 2147–2152, 2016.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[3]</w:t>
      </w:r>
      <w:r w:rsidRPr="00C478A7">
        <w:rPr>
          <w:noProof/>
          <w:sz w:val="22"/>
          <w:szCs w:val="22"/>
        </w:rPr>
        <w:tab/>
        <w:t xml:space="preserve">G. Erdoğan, “Land selection criteria for lights out factory districts during the industry 4.0 process,” </w:t>
      </w:r>
      <w:r w:rsidRPr="00C478A7">
        <w:rPr>
          <w:i/>
          <w:iCs/>
          <w:noProof/>
          <w:sz w:val="22"/>
          <w:szCs w:val="22"/>
        </w:rPr>
        <w:t>J. Urban Manag.</w:t>
      </w:r>
      <w:r w:rsidRPr="00C478A7">
        <w:rPr>
          <w:noProof/>
          <w:sz w:val="22"/>
          <w:szCs w:val="22"/>
        </w:rPr>
        <w:t>, no. January, pp. 1–9, 2019.</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[4]</w:t>
      </w:r>
      <w:r w:rsidRPr="00C478A7">
        <w:rPr>
          <w:noProof/>
          <w:sz w:val="22"/>
          <w:szCs w:val="22"/>
        </w:rPr>
        <w:tab/>
        <w:t xml:space="preserve">F. Hecklau, M. Galeitzke, S. Flachs, and H. Kohl, “Holistic Approach for Human Resource Management in Industry 4.0,” </w:t>
      </w:r>
      <w:r w:rsidRPr="00C478A7">
        <w:rPr>
          <w:i/>
          <w:iCs/>
          <w:noProof/>
          <w:sz w:val="22"/>
          <w:szCs w:val="22"/>
        </w:rPr>
        <w:t>Procedia CIRP</w:t>
      </w:r>
      <w:r w:rsidRPr="00C478A7">
        <w:rPr>
          <w:noProof/>
          <w:sz w:val="22"/>
          <w:szCs w:val="22"/>
        </w:rPr>
        <w:t>, vol. 54, pp. 1–6, 2016.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[5]</w:t>
      </w:r>
      <w:r w:rsidRPr="00C478A7">
        <w:rPr>
          <w:noProof/>
          <w:sz w:val="22"/>
          <w:szCs w:val="22"/>
        </w:rPr>
        <w:tab/>
        <w:t xml:space="preserve">F. Ansari, S. Erol, and W. Sihn, “Rethinking Human-Machine Learning in Industry 4.0: How Does the Paradigm Shift Treat the Role of Human Learning?,” </w:t>
      </w:r>
      <w:r w:rsidRPr="00C478A7">
        <w:rPr>
          <w:i/>
          <w:iCs/>
          <w:noProof/>
          <w:sz w:val="22"/>
          <w:szCs w:val="22"/>
        </w:rPr>
        <w:t>Procedia Manuf.</w:t>
      </w:r>
      <w:r w:rsidRPr="00C478A7">
        <w:rPr>
          <w:noProof/>
          <w:sz w:val="22"/>
          <w:szCs w:val="22"/>
        </w:rPr>
        <w:t>, vol. 23, no. 2017, pp. 117–122, 2018.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[6]</w:t>
      </w:r>
      <w:r w:rsidRPr="00C478A7">
        <w:rPr>
          <w:noProof/>
          <w:sz w:val="22"/>
          <w:szCs w:val="22"/>
        </w:rPr>
        <w:tab/>
        <w:t xml:space="preserve">A. Szalavetz, “Industry 4.0 and capability development in manufacturing subsidiaries,” </w:t>
      </w:r>
      <w:r w:rsidRPr="00C478A7">
        <w:rPr>
          <w:i/>
          <w:iCs/>
          <w:noProof/>
          <w:sz w:val="22"/>
          <w:szCs w:val="22"/>
        </w:rPr>
        <w:t>Technol. Forecast. Soc. Change</w:t>
      </w:r>
      <w:r w:rsidRPr="00C478A7">
        <w:rPr>
          <w:noProof/>
          <w:sz w:val="22"/>
          <w:szCs w:val="22"/>
        </w:rPr>
        <w:t>, no. May, pp. 0–1, 2018.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[7]</w:t>
      </w:r>
      <w:r w:rsidRPr="00C478A7">
        <w:rPr>
          <w:noProof/>
          <w:sz w:val="22"/>
          <w:szCs w:val="22"/>
        </w:rPr>
        <w:tab/>
        <w:t xml:space="preserve">C.-M. Chou, C.-H. Shen, H.-C. Hsiao, and T.-C. Shen, “Industry 4.0 Manpower and its Teaching Connotation in Technical and Vocational Education: Adjust 107 Curriculum Reform,” </w:t>
      </w:r>
      <w:r w:rsidRPr="00C478A7">
        <w:rPr>
          <w:i/>
          <w:iCs/>
          <w:noProof/>
          <w:sz w:val="22"/>
          <w:szCs w:val="22"/>
        </w:rPr>
        <w:t>Int. J. Psychol. Educ. Stud.</w:t>
      </w:r>
      <w:r w:rsidRPr="00C478A7">
        <w:rPr>
          <w:noProof/>
          <w:sz w:val="22"/>
          <w:szCs w:val="22"/>
        </w:rPr>
        <w:t>, vol. 5, no. 1, pp. 9–14, 2018.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[8]</w:t>
      </w:r>
      <w:r w:rsidRPr="00C478A7">
        <w:rPr>
          <w:noProof/>
          <w:sz w:val="22"/>
          <w:szCs w:val="22"/>
        </w:rPr>
        <w:tab/>
        <w:t xml:space="preserve">G. Vincenti, A. Bucciero, M. Helfert, and M. Glowat, </w:t>
      </w:r>
      <w:r w:rsidRPr="00C478A7">
        <w:rPr>
          <w:i/>
          <w:iCs/>
          <w:noProof/>
          <w:sz w:val="22"/>
          <w:szCs w:val="22"/>
        </w:rPr>
        <w:t>E-learning evaluation in education</w:t>
      </w:r>
      <w:r w:rsidRPr="00C478A7">
        <w:rPr>
          <w:noProof/>
          <w:sz w:val="22"/>
          <w:szCs w:val="22"/>
        </w:rPr>
        <w:t>, vol. 180. Switerland: Springer, 2017.</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[9]</w:t>
      </w:r>
      <w:r w:rsidRPr="00C478A7">
        <w:rPr>
          <w:noProof/>
          <w:sz w:val="22"/>
          <w:szCs w:val="22"/>
        </w:rPr>
        <w:tab/>
        <w:t xml:space="preserve">Ceri/Oecd, “21st Century Learning: Research, Innovation and Policy - Directions from recent OECD analyses,” </w:t>
      </w:r>
      <w:r w:rsidRPr="00C478A7">
        <w:rPr>
          <w:i/>
          <w:iCs/>
          <w:noProof/>
          <w:sz w:val="22"/>
          <w:szCs w:val="22"/>
        </w:rPr>
        <w:t>OECD/CERI Int. Conf. -Learning 21st Century Res. Innov. Policy</w:t>
      </w:r>
      <w:r w:rsidRPr="00C478A7">
        <w:rPr>
          <w:noProof/>
          <w:sz w:val="22"/>
          <w:szCs w:val="22"/>
        </w:rPr>
        <w:t>, pp. 1–13, 2008.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[10]</w:t>
      </w:r>
      <w:r w:rsidRPr="00C478A7">
        <w:rPr>
          <w:noProof/>
          <w:sz w:val="22"/>
          <w:szCs w:val="22"/>
        </w:rPr>
        <w:tab/>
        <w:t xml:space="preserve">Organisation for Economic Co-operation and Development (OECD), “The Future of Education and Skills: Education 2030,” </w:t>
      </w:r>
      <w:r w:rsidRPr="00C478A7">
        <w:rPr>
          <w:i/>
          <w:iCs/>
          <w:noProof/>
          <w:sz w:val="22"/>
          <w:szCs w:val="22"/>
        </w:rPr>
        <w:t>OECD Educ. Work. Pap.</w:t>
      </w:r>
      <w:r w:rsidRPr="00C478A7">
        <w:rPr>
          <w:noProof/>
          <w:sz w:val="22"/>
          <w:szCs w:val="22"/>
        </w:rPr>
        <w:t>, p. 23, 2018.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[11]</w:t>
      </w:r>
      <w:r w:rsidRPr="00C478A7">
        <w:rPr>
          <w:noProof/>
          <w:sz w:val="22"/>
          <w:szCs w:val="22"/>
        </w:rPr>
        <w:tab/>
        <w:t>National Education Association, “Preparing 21st Century Students for a Global Society: An Educator ’ s Guide to the ‘ Four Cs ,’” pp. 1–38, 2014.</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[12]</w:t>
      </w:r>
      <w:r w:rsidRPr="00C478A7">
        <w:rPr>
          <w:noProof/>
          <w:sz w:val="22"/>
          <w:szCs w:val="22"/>
        </w:rPr>
        <w:tab/>
        <w:t xml:space="preserve">H. Kagermann and R. Anderl, </w:t>
      </w:r>
      <w:r w:rsidRPr="00C478A7">
        <w:rPr>
          <w:i/>
          <w:iCs/>
          <w:noProof/>
          <w:sz w:val="22"/>
          <w:szCs w:val="22"/>
        </w:rPr>
        <w:t>Industrie 4.0 in a Global Context</w:t>
      </w:r>
      <w:r w:rsidRPr="00C478A7">
        <w:rPr>
          <w:noProof/>
          <w:sz w:val="22"/>
          <w:szCs w:val="22"/>
        </w:rPr>
        <w:t>. Acatech, 2013.</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[13]</w:t>
      </w:r>
      <w:r w:rsidRPr="00C478A7">
        <w:rPr>
          <w:noProof/>
          <w:sz w:val="22"/>
          <w:szCs w:val="22"/>
        </w:rPr>
        <w:tab/>
        <w:t xml:space="preserve">B. Hermann, M., Pentek, T., &amp; Otto, “Design Principles for Industrie 4.0 Scenarios,” </w:t>
      </w:r>
      <w:r w:rsidRPr="00C478A7">
        <w:rPr>
          <w:i/>
          <w:iCs/>
          <w:noProof/>
          <w:sz w:val="22"/>
          <w:szCs w:val="22"/>
        </w:rPr>
        <w:t>Present. 49th Hawaiian Int. Conf. Syst. Sci.</w:t>
      </w:r>
      <w:r w:rsidRPr="00C478A7">
        <w:rPr>
          <w:noProof/>
          <w:sz w:val="22"/>
          <w:szCs w:val="22"/>
        </w:rPr>
        <w:t>, 2016.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[14]</w:t>
      </w:r>
      <w:r w:rsidRPr="00C478A7">
        <w:rPr>
          <w:noProof/>
          <w:sz w:val="22"/>
          <w:szCs w:val="22"/>
        </w:rPr>
        <w:tab/>
        <w:t xml:space="preserve">B. Motyl, G. Baronio, S. Uberti, D. Speranza, and S. Filippi, “How will change the future engineers ’ skills in the Industry 4 . 0 framework ? A questionnaire survey,” </w:t>
      </w:r>
      <w:r w:rsidRPr="00C478A7">
        <w:rPr>
          <w:i/>
          <w:iCs/>
          <w:noProof/>
          <w:sz w:val="22"/>
          <w:szCs w:val="22"/>
        </w:rPr>
        <w:t>Procedia Manuf.</w:t>
      </w:r>
      <w:r w:rsidRPr="00C478A7">
        <w:rPr>
          <w:noProof/>
          <w:sz w:val="22"/>
          <w:szCs w:val="22"/>
        </w:rPr>
        <w:t>, vol. 11, no. June, pp. 1501–1509, 2017.</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[15]</w:t>
      </w:r>
      <w:r w:rsidRPr="00C478A7">
        <w:rPr>
          <w:noProof/>
          <w:sz w:val="22"/>
          <w:szCs w:val="22"/>
        </w:rPr>
        <w:tab/>
        <w:t xml:space="preserve">E. Kaasinen </w:t>
      </w:r>
      <w:r w:rsidRPr="00C478A7">
        <w:rPr>
          <w:i/>
          <w:iCs/>
          <w:noProof/>
          <w:sz w:val="22"/>
          <w:szCs w:val="22"/>
        </w:rPr>
        <w:t>et al.</w:t>
      </w:r>
      <w:r w:rsidRPr="00C478A7">
        <w:rPr>
          <w:noProof/>
          <w:sz w:val="22"/>
          <w:szCs w:val="22"/>
        </w:rPr>
        <w:t xml:space="preserve">, “Empowering and engaging industrial workers with Operator 4 . 0,” </w:t>
      </w:r>
      <w:r w:rsidRPr="00C478A7">
        <w:rPr>
          <w:i/>
          <w:iCs/>
          <w:noProof/>
          <w:sz w:val="22"/>
          <w:szCs w:val="22"/>
        </w:rPr>
        <w:t>Comput. Ind. Eng.</w:t>
      </w:r>
      <w:r w:rsidRPr="00C478A7">
        <w:rPr>
          <w:noProof/>
          <w:sz w:val="22"/>
          <w:szCs w:val="22"/>
        </w:rPr>
        <w:t>, 2019.</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[16]</w:t>
      </w:r>
      <w:r w:rsidRPr="00C478A7">
        <w:rPr>
          <w:noProof/>
          <w:sz w:val="22"/>
          <w:szCs w:val="22"/>
        </w:rPr>
        <w:tab/>
        <w:t xml:space="preserve">C. Schröder, “The Challenges of Industry 4.0 for Small and Medium-sized Enterprises a good society – social democracy # 2017 plus,” </w:t>
      </w:r>
      <w:r w:rsidRPr="00C478A7">
        <w:rPr>
          <w:i/>
          <w:iCs/>
          <w:noProof/>
          <w:sz w:val="22"/>
          <w:szCs w:val="22"/>
        </w:rPr>
        <w:t>the Friedrich-Ebert-Stiftung</w:t>
      </w:r>
      <w:r w:rsidRPr="00C478A7">
        <w:rPr>
          <w:noProof/>
          <w:sz w:val="22"/>
          <w:szCs w:val="22"/>
        </w:rPr>
        <w:t>, p. 28, 2016.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[17]</w:t>
      </w:r>
      <w:r w:rsidRPr="00C478A7">
        <w:rPr>
          <w:noProof/>
          <w:sz w:val="22"/>
          <w:szCs w:val="22"/>
        </w:rPr>
        <w:tab/>
        <w:t xml:space="preserve">R. Y. Zhong, X. Xu, E. Klotz, and S. T. Newman, “Intelligent Manufacturing in the Context of Industry 4 . 0 : A Review,” </w:t>
      </w:r>
      <w:r w:rsidRPr="00C478A7">
        <w:rPr>
          <w:i/>
          <w:iCs/>
          <w:noProof/>
          <w:sz w:val="22"/>
          <w:szCs w:val="22"/>
        </w:rPr>
        <w:t>Engineering</w:t>
      </w:r>
      <w:r w:rsidRPr="00C478A7">
        <w:rPr>
          <w:noProof/>
          <w:sz w:val="22"/>
          <w:szCs w:val="22"/>
        </w:rPr>
        <w:t>, vol. 3, no. 5, pp. 616–630, 2017.</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[18]</w:t>
      </w:r>
      <w:r w:rsidRPr="00C478A7">
        <w:rPr>
          <w:noProof/>
          <w:sz w:val="22"/>
          <w:szCs w:val="22"/>
        </w:rPr>
        <w:tab/>
        <w:t xml:space="preserve">C. Martin and H. Leurent, “Technology and innovation for the future of production: Accelerating value creation,” </w:t>
      </w:r>
      <w:r w:rsidRPr="00C478A7">
        <w:rPr>
          <w:i/>
          <w:iCs/>
          <w:noProof/>
          <w:sz w:val="22"/>
          <w:szCs w:val="22"/>
        </w:rPr>
        <w:t>World Econ. Forum</w:t>
      </w:r>
      <w:r w:rsidRPr="00C478A7">
        <w:rPr>
          <w:noProof/>
          <w:sz w:val="22"/>
          <w:szCs w:val="22"/>
        </w:rPr>
        <w:t>, no. March, pp. 1–38, 2017.</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[19]</w:t>
      </w:r>
      <w:r w:rsidRPr="00C478A7">
        <w:rPr>
          <w:noProof/>
          <w:sz w:val="22"/>
          <w:szCs w:val="22"/>
        </w:rPr>
        <w:tab/>
        <w:t>M. Bialik, C. Fadel, B. Trilling, P. Nilsson, and J. Groff, “Skills for the 21 st Century: What Should Students Learn? Center for Curriculum Redesign,” no. May, 2015.</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[20]</w:t>
      </w:r>
      <w:r w:rsidRPr="00C478A7">
        <w:rPr>
          <w:noProof/>
          <w:sz w:val="22"/>
          <w:szCs w:val="22"/>
        </w:rPr>
        <w:tab/>
        <w:t xml:space="preserve">L. Darling-Hammond, “Constructing 21st-century teacher education,” </w:t>
      </w:r>
      <w:r w:rsidRPr="00C478A7">
        <w:rPr>
          <w:i/>
          <w:iCs/>
          <w:noProof/>
          <w:sz w:val="22"/>
          <w:szCs w:val="22"/>
        </w:rPr>
        <w:t>J. Teach. Educ.</w:t>
      </w:r>
      <w:r w:rsidRPr="00C478A7">
        <w:rPr>
          <w:noProof/>
          <w:sz w:val="22"/>
          <w:szCs w:val="22"/>
        </w:rPr>
        <w:t>, vol. 57, no. 3, pp. 300–314, 2006.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[21]</w:t>
      </w:r>
      <w:r w:rsidRPr="00C478A7">
        <w:rPr>
          <w:noProof/>
          <w:sz w:val="22"/>
          <w:szCs w:val="22"/>
        </w:rPr>
        <w:tab/>
        <w:t xml:space="preserve">R. R. Singh, </w:t>
      </w:r>
      <w:r w:rsidRPr="00C478A7">
        <w:rPr>
          <w:i/>
          <w:iCs/>
          <w:noProof/>
          <w:sz w:val="22"/>
          <w:szCs w:val="22"/>
        </w:rPr>
        <w:t>Education for Twenty-First Century: Asia-Pacific Perspectives</w:t>
      </w:r>
      <w:r w:rsidRPr="00C478A7">
        <w:rPr>
          <w:noProof/>
          <w:sz w:val="22"/>
          <w:szCs w:val="22"/>
        </w:rPr>
        <w:t>, no. c. Bangkok: Prakanong Post Office, 1991.</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[22]</w:t>
      </w:r>
      <w:r w:rsidRPr="00C478A7">
        <w:rPr>
          <w:noProof/>
          <w:sz w:val="22"/>
          <w:szCs w:val="22"/>
        </w:rPr>
        <w:tab/>
        <w:t xml:space="preserve">Unesco, </w:t>
      </w:r>
      <w:r w:rsidRPr="00C478A7">
        <w:rPr>
          <w:i/>
          <w:iCs/>
          <w:noProof/>
          <w:sz w:val="22"/>
          <w:szCs w:val="22"/>
        </w:rPr>
        <w:t>UNESCO ICT Competency Framework for Teachers | OER Commons</w:t>
      </w:r>
      <w:r w:rsidRPr="00C478A7">
        <w:rPr>
          <w:noProof/>
          <w:sz w:val="22"/>
          <w:szCs w:val="22"/>
        </w:rPr>
        <w:t>. 2018.</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lastRenderedPageBreak/>
        <w:t>[23]</w:t>
      </w:r>
      <w:r w:rsidRPr="00C478A7">
        <w:rPr>
          <w:noProof/>
          <w:sz w:val="22"/>
          <w:szCs w:val="22"/>
        </w:rPr>
        <w:tab/>
        <w:t>I. Technology, “Maryland Technology Education Standards.”</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[24]</w:t>
      </w:r>
      <w:r w:rsidRPr="00C478A7">
        <w:rPr>
          <w:noProof/>
          <w:sz w:val="22"/>
          <w:szCs w:val="22"/>
        </w:rPr>
        <w:tab/>
        <w:t xml:space="preserve">H. Schools, </w:t>
      </w:r>
      <w:r w:rsidRPr="00C478A7">
        <w:rPr>
          <w:i/>
          <w:iCs/>
          <w:noProof/>
          <w:sz w:val="22"/>
          <w:szCs w:val="22"/>
        </w:rPr>
        <w:t>ICT Fluency and High Schools</w:t>
      </w:r>
      <w:r w:rsidRPr="00C478A7">
        <w:rPr>
          <w:noProof/>
          <w:sz w:val="22"/>
          <w:szCs w:val="22"/>
        </w:rPr>
        <w:t>. 2006.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[25]</w:t>
      </w:r>
      <w:r w:rsidRPr="00C478A7">
        <w:rPr>
          <w:noProof/>
          <w:sz w:val="22"/>
          <w:szCs w:val="22"/>
        </w:rPr>
        <w:tab/>
        <w:t>E. T. S. (ETS), “Digital Transformation: A Framework for ICT Literacy. A Report of the International ICT Literacy Panel,” 2007.</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[26]</w:t>
      </w:r>
      <w:r w:rsidRPr="00C478A7">
        <w:rPr>
          <w:noProof/>
          <w:sz w:val="22"/>
          <w:szCs w:val="22"/>
        </w:rPr>
        <w:tab/>
        <w:t xml:space="preserve">S. Ghavifekr and W. A. W. Rosdy, “Teaching and Learning with Technology: Effectiveness of ICT Integration in Schools,” </w:t>
      </w:r>
      <w:r w:rsidRPr="00C478A7">
        <w:rPr>
          <w:i/>
          <w:iCs/>
          <w:noProof/>
          <w:sz w:val="22"/>
          <w:szCs w:val="22"/>
        </w:rPr>
        <w:t>Int. J. Res. Educ. Sci.</w:t>
      </w:r>
      <w:r w:rsidRPr="00C478A7">
        <w:rPr>
          <w:noProof/>
          <w:sz w:val="22"/>
          <w:szCs w:val="22"/>
        </w:rPr>
        <w:t>, vol. 1, no. 2, p. 175, 2016.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[27]</w:t>
      </w:r>
      <w:r w:rsidRPr="00C478A7">
        <w:rPr>
          <w:noProof/>
          <w:sz w:val="22"/>
          <w:szCs w:val="22"/>
        </w:rPr>
        <w:tab/>
        <w:t>C.-A. Rampersad, “Teachers ’ Perceptions of the Contribution of Teaching of Modern Studies , Using an Integrated,” 2011.</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[28]</w:t>
      </w:r>
      <w:r w:rsidRPr="00C478A7">
        <w:rPr>
          <w:noProof/>
          <w:sz w:val="22"/>
          <w:szCs w:val="22"/>
        </w:rPr>
        <w:tab/>
        <w:t xml:space="preserve">M. J. Eady and L. Lockyer, “Tools for learning: technology and teaching strategies,” </w:t>
      </w:r>
      <w:r w:rsidRPr="00C478A7">
        <w:rPr>
          <w:i/>
          <w:iCs/>
          <w:noProof/>
          <w:sz w:val="22"/>
          <w:szCs w:val="22"/>
        </w:rPr>
        <w:t>Learn. to Teach Prim. Sch.</w:t>
      </w:r>
      <w:r w:rsidRPr="00C478A7">
        <w:rPr>
          <w:noProof/>
          <w:sz w:val="22"/>
          <w:szCs w:val="22"/>
        </w:rPr>
        <w:t>, p. 71, 2013.</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[29]</w:t>
      </w:r>
      <w:r w:rsidRPr="00C478A7">
        <w:rPr>
          <w:noProof/>
          <w:sz w:val="22"/>
          <w:szCs w:val="22"/>
        </w:rPr>
        <w:tab/>
        <w:t xml:space="preserve">R. Mason, “Literacy in the digital age,” </w:t>
      </w:r>
      <w:r w:rsidRPr="00C478A7">
        <w:rPr>
          <w:i/>
          <w:iCs/>
          <w:noProof/>
          <w:sz w:val="22"/>
          <w:szCs w:val="22"/>
        </w:rPr>
        <w:t>Br. J. Educ. Technol.</w:t>
      </w:r>
      <w:r w:rsidRPr="00C478A7">
        <w:rPr>
          <w:noProof/>
          <w:sz w:val="22"/>
          <w:szCs w:val="22"/>
        </w:rPr>
        <w:t>, vol. 37, no. 2, pp. 315–315, 2006.</w:t>
      </w:r>
    </w:p>
    <w:p w:rsidR="00B42C7C" w:rsidRPr="00C478A7" w:rsidRDefault="00B42C7C" w:rsidP="00B42C7C">
      <w:pPr>
        <w:pStyle w:val="NormalWeb"/>
        <w:spacing w:before="0" w:beforeAutospacing="0" w:after="0" w:afterAutospacing="0"/>
        <w:ind w:left="640" w:hanging="640"/>
        <w:jc w:val="both"/>
        <w:rPr>
          <w:noProof/>
          <w:sz w:val="22"/>
          <w:szCs w:val="22"/>
        </w:rPr>
      </w:pPr>
      <w:r w:rsidRPr="00C478A7">
        <w:rPr>
          <w:noProof/>
          <w:sz w:val="22"/>
          <w:szCs w:val="22"/>
        </w:rPr>
        <w:t>[30]</w:t>
      </w:r>
      <w:r w:rsidRPr="00C478A7">
        <w:rPr>
          <w:noProof/>
          <w:sz w:val="22"/>
          <w:szCs w:val="22"/>
        </w:rPr>
        <w:tab/>
        <w:t xml:space="preserve">A. Santoso and S. Lestari, “The Roles of Technology Literacy and Technology Integration to Improve Students ’ Teaching Competencies,” </w:t>
      </w:r>
      <w:r w:rsidRPr="00C478A7">
        <w:rPr>
          <w:i/>
          <w:iCs/>
          <w:noProof/>
          <w:sz w:val="22"/>
          <w:szCs w:val="22"/>
        </w:rPr>
        <w:t>Roles Technol. Lit. Technol. Integr. to Improv. Students ’ Teach. Competencies</w:t>
      </w:r>
      <w:r w:rsidRPr="00C478A7">
        <w:rPr>
          <w:noProof/>
          <w:sz w:val="22"/>
          <w:szCs w:val="22"/>
        </w:rPr>
        <w:t>, vol. 2019, pp. 243–256, 2019.</w:t>
      </w:r>
    </w:p>
    <w:p w:rsidR="00B42C7C" w:rsidRPr="00C478A7" w:rsidRDefault="00B42C7C" w:rsidP="00B42C7C">
      <w:pPr>
        <w:pStyle w:val="NormalWeb"/>
        <w:spacing w:before="0" w:beforeAutospacing="0" w:after="0" w:afterAutospacing="0"/>
        <w:ind w:left="640" w:hanging="640"/>
        <w:jc w:val="both"/>
        <w:rPr>
          <w:b/>
          <w:sz w:val="22"/>
          <w:szCs w:val="22"/>
        </w:rPr>
      </w:pPr>
      <w:r w:rsidRPr="00C478A7">
        <w:rPr>
          <w:noProof/>
          <w:sz w:val="22"/>
          <w:szCs w:val="22"/>
        </w:rPr>
        <w:t>[31]</w:t>
      </w:r>
      <w:r w:rsidRPr="00C478A7">
        <w:rPr>
          <w:noProof/>
          <w:sz w:val="22"/>
          <w:szCs w:val="22"/>
        </w:rPr>
        <w:tab/>
        <w:t xml:space="preserve">V. Arkorful and N. Abaidoo, “The role of e-learning, advantages and disadvantages of its adoption in higher education,” </w:t>
      </w:r>
      <w:r w:rsidRPr="00C478A7">
        <w:rPr>
          <w:i/>
          <w:iCs/>
          <w:noProof/>
          <w:sz w:val="22"/>
          <w:szCs w:val="22"/>
        </w:rPr>
        <w:t>Int. J. Instr. Technol. Distance Learn.</w:t>
      </w:r>
      <w:r w:rsidRPr="00C478A7">
        <w:rPr>
          <w:noProof/>
          <w:sz w:val="22"/>
          <w:szCs w:val="22"/>
        </w:rPr>
        <w:t xml:space="preserve">, vol. 12, no. 1, pp. 29–42, 2015. </w:t>
      </w:r>
      <w:r w:rsidRPr="00C478A7">
        <w:rPr>
          <w:b/>
          <w:sz w:val="22"/>
          <w:szCs w:val="22"/>
        </w:rPr>
        <w:fldChar w:fldCharType="end"/>
      </w:r>
    </w:p>
    <w:sdt>
      <w:sdtPr>
        <w:tag w:val="goog_rdk_86"/>
        <w:id w:val="523822470"/>
      </w:sdtPr>
      <w:sdtEndPr/>
      <w:sdtContent>
        <w:p w:rsidR="002F079E" w:rsidRDefault="00BA78DA">
          <w:pPr>
            <w:spacing w:after="240"/>
            <w:rPr>
              <w:rFonts w:ascii="Times New Roman" w:eastAsia="Times New Roman" w:hAnsi="Times New Roman" w:cs="Times New Roman"/>
              <w:b/>
            </w:rPr>
          </w:pPr>
        </w:p>
      </w:sdtContent>
    </w:sdt>
    <w:sectPr w:rsidR="002F079E">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F3C79"/>
    <w:multiLevelType w:val="multilevel"/>
    <w:tmpl w:val="4156050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2A47656"/>
    <w:multiLevelType w:val="hybridMultilevel"/>
    <w:tmpl w:val="30E897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88306B"/>
    <w:multiLevelType w:val="multilevel"/>
    <w:tmpl w:val="6908E2D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9E"/>
    <w:rsid w:val="002F079E"/>
    <w:rsid w:val="002F09F6"/>
    <w:rsid w:val="006639BF"/>
    <w:rsid w:val="00B42C7C"/>
    <w:rsid w:val="00BA78DA"/>
    <w:rsid w:val="00C4211A"/>
    <w:rsid w:val="00CE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6A5DF-FB79-4A11-9CC4-671E9223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gambar,anak bab"/>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customStyle="1" w:styleId="ListParagraphChar">
    <w:name w:val="List Paragraph Char"/>
    <w:aliases w:val="Body of text Char,gambar Char,anak bab Char"/>
    <w:link w:val="ListParagraph"/>
    <w:uiPriority w:val="34"/>
    <w:rsid w:val="00C4211A"/>
  </w:style>
  <w:style w:type="table" w:styleId="TableGrid">
    <w:name w:val="Table Grid"/>
    <w:basedOn w:val="TableNormal"/>
    <w:uiPriority w:val="39"/>
    <w:rsid w:val="00C4211A"/>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
    <w:basedOn w:val="DefaultParagraphFont"/>
    <w:rsid w:val="00C4211A"/>
  </w:style>
  <w:style w:type="paragraph" w:styleId="NormalWeb">
    <w:name w:val="Normal (Web)"/>
    <w:basedOn w:val="Normal"/>
    <w:uiPriority w:val="99"/>
    <w:unhideWhenUsed/>
    <w:rsid w:val="00B42C7C"/>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14405</Words>
  <Characters>82114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HP430</cp:lastModifiedBy>
  <cp:revision>7</cp:revision>
  <dcterms:created xsi:type="dcterms:W3CDTF">2019-08-08T12:32:00Z</dcterms:created>
  <dcterms:modified xsi:type="dcterms:W3CDTF">2019-08-08T13:08:00Z</dcterms:modified>
</cp:coreProperties>
</file>